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宋体" w:hAnsi="宋体"/>
          <w:color w:val="000000"/>
          <w:sz w:val="96"/>
          <w:szCs w:val="96"/>
        </w:rPr>
      </w:pPr>
    </w:p>
    <w:p>
      <w:pPr>
        <w:widowControl/>
        <w:spacing w:line="1200" w:lineRule="exact"/>
        <w:jc w:val="center"/>
        <w:rPr>
          <w:rFonts w:ascii="宋体" w:hAnsi="宋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宋体" w:hAnsi="宋体"/>
          <w:color w:val="002060"/>
          <w:sz w:val="72"/>
          <w:szCs w:val="72"/>
        </w:rPr>
      </w:pPr>
    </w:p>
    <w:p>
      <w:pPr>
        <w:widowControl/>
        <w:jc w:val="center"/>
        <w:rPr>
          <w:rFonts w:ascii="宋体" w:hAnsi="宋体"/>
          <w:b/>
          <w:sz w:val="72"/>
          <w:szCs w:val="72"/>
        </w:rPr>
      </w:pPr>
    </w:p>
    <w:p>
      <w:pPr>
        <w:widowControl/>
        <w:jc w:val="center"/>
        <w:rPr>
          <w:rFonts w:ascii="宋体" w:hAnsi="宋体"/>
          <w:b/>
          <w:sz w:val="72"/>
          <w:szCs w:val="72"/>
        </w:rPr>
      </w:pPr>
    </w:p>
    <w:p>
      <w:pPr>
        <w:widowControl/>
        <w:jc w:val="center"/>
        <w:rPr>
          <w:rFonts w:ascii="宋体" w:hAnsi="宋体"/>
          <w:b/>
          <w:sz w:val="72"/>
          <w:szCs w:val="72"/>
        </w:rPr>
      </w:pPr>
    </w:p>
    <w:p>
      <w:pPr>
        <w:widowControl/>
        <w:jc w:val="center"/>
        <w:rPr>
          <w:rFonts w:ascii="宋体" w:hAnsi="宋体"/>
          <w:b/>
          <w:sz w:val="72"/>
          <w:szCs w:val="72"/>
        </w:rPr>
      </w:pPr>
    </w:p>
    <w:p>
      <w:pPr>
        <w:widowControl/>
        <w:jc w:val="center"/>
        <w:rPr>
          <w:rFonts w:ascii="宋体" w:hAnsi="宋体"/>
          <w:b/>
          <w:sz w:val="72"/>
          <w:szCs w:val="72"/>
        </w:rPr>
      </w:pPr>
    </w:p>
    <w:p>
      <w:pPr>
        <w:widowControl/>
        <w:ind w:firstLine="2871" w:firstLineChars="650"/>
        <w:rPr>
          <w:rFonts w:ascii="楷体" w:hAnsi="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霸州</w:t>
      </w:r>
      <w:r>
        <w:rPr>
          <w:b/>
          <w:sz w:val="44"/>
          <w:szCs w:val="44"/>
        </w:rPr>
        <w:t>市</w:t>
      </w:r>
      <w:r>
        <w:rPr>
          <w:rFonts w:hint="eastAsia"/>
          <w:b/>
          <w:sz w:val="44"/>
          <w:szCs w:val="44"/>
        </w:rPr>
        <w:t>林业局</w:t>
      </w:r>
    </w:p>
    <w:p>
      <w:pPr>
        <w:spacing w:beforeLines="20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霸州市林业局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rPr>
          <w:rFonts w:ascii="黑体" w:hAnsi="黑体" w:eastAsia="黑体" w:cs="黑体"/>
          <w:sz w:val="96"/>
          <w:szCs w:val="96"/>
        </w:rPr>
      </w:pPr>
      <w:r>
        <w:br w:type="page"/>
      </w:r>
    </w:p>
    <w:p>
      <w:pPr>
        <w:rPr>
          <w:rFonts w:ascii="黑体" w:hAnsi="黑体" w:eastAsia="黑体" w:cs="黑体"/>
          <w:sz w:val="96"/>
          <w:szCs w:val="96"/>
        </w:rPr>
      </w:pPr>
    </w:p>
    <w:p>
      <w:pPr>
        <w:rPr>
          <w:rFonts w:ascii="黑体" w:hAnsi="黑体" w:eastAsia="黑体" w:cs="黑体"/>
          <w:sz w:val="96"/>
          <w:szCs w:val="96"/>
        </w:rPr>
      </w:pPr>
    </w:p>
    <w:p>
      <w:pPr>
        <w:rPr>
          <w:rFonts w:ascii="黑体" w:hAnsi="黑体" w:eastAsia="黑体" w:cs="黑体"/>
          <w:sz w:val="96"/>
          <w:szCs w:val="96"/>
        </w:rPr>
      </w:pPr>
    </w:p>
    <w:p>
      <w:pPr>
        <w:rPr>
          <w:rFonts w:ascii="黑体" w:hAnsi="黑体" w:eastAsia="黑体" w:cs="黑体"/>
          <w:sz w:val="96"/>
          <w:szCs w:val="96"/>
        </w:rPr>
      </w:pPr>
    </w:p>
    <w:p>
      <w:pPr>
        <w:rPr>
          <w:rFonts w:ascii="黑体" w:hAnsi="黑体" w:eastAsia="黑体" w:cs="黑体"/>
          <w:sz w:val="96"/>
          <w:szCs w:val="96"/>
        </w:rPr>
      </w:pPr>
    </w:p>
    <w:p>
      <w:pPr>
        <w:rPr>
          <w:rFonts w:ascii="黑体" w:hAnsi="黑体" w:eastAsia="黑体" w:cs="黑体"/>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 部门概况</w:t>
      </w:r>
    </w:p>
    <w:p>
      <w:pPr>
        <w:rPr>
          <w:rFonts w:ascii="黑体" w:hAnsi="黑体" w:eastAsia="黑体" w:cs="黑体"/>
          <w:sz w:val="96"/>
          <w:szCs w:val="96"/>
        </w:rPr>
      </w:pPr>
    </w:p>
    <w:p/>
    <w:p/>
    <w:p/>
    <w:p/>
    <w:p>
      <w:pPr>
        <w:widowControl/>
        <w:spacing w:line="560" w:lineRule="exact"/>
        <w:ind w:firstLine="640" w:firstLineChars="200"/>
        <w:rPr>
          <w:rFonts w:ascii="仿宋_GB2312" w:hAnsi="仿宋" w:eastAsia="仿宋_GB2312"/>
          <w:sz w:val="32"/>
          <w:szCs w:val="32"/>
        </w:rPr>
      </w:pPr>
    </w:p>
    <w:p>
      <w:pPr>
        <w:widowControl/>
        <w:numPr>
          <w:ilvl w:val="0"/>
          <w:numId w:val="1"/>
        </w:numPr>
        <w:spacing w:line="560" w:lineRule="exact"/>
        <w:ind w:firstLine="640" w:firstLineChars="200"/>
        <w:rPr>
          <w:rFonts w:ascii="黑体" w:hAnsi="黑体" w:eastAsia="黑体" w:cs="黑体"/>
          <w:sz w:val="28"/>
          <w:szCs w:val="28"/>
        </w:rPr>
      </w:pPr>
      <w:r>
        <w:rPr>
          <w:rFonts w:hint="eastAsia" w:ascii="黑体" w:hAnsi="黑体" w:eastAsia="黑体"/>
          <w:sz w:val="32"/>
          <w:szCs w:val="32"/>
        </w:rPr>
        <w:t>部门职责</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组织实施国家关于林业工作的方针、政策、法律、法规并负责监督检查；研究拟定全市林业生态环境建设、森林资源保护、国土绿化、防治荒漠化和林业产业发展的规章和政策，经批准后组织实施并监督检查。</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定全市林业发展战略、中长期发展规划、年度计划、综合规划和有关专业规划并组织实施；审核申报或审批市重点林业建设项目并监督实施；监管国有林业资产，管理市级林业资金，监督全市林业资金的管理和使用；配合有关部门研究拟定发展林业的经济调节政策。</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负责全市植树造林、国土绿化、防治荒漠化和防沙、治沙工作‘指导林场、果树场、苗圃、花圃、森林公园的建设和管理；指导基层林业工作机构建设。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指导全市林业资源调查、规划、设计、动态监测、统计及管理工作；组织编制森林采伐限额，报上级主管部门批准后监督执行。监督执行林木凭证采伐与运输等林政管理工作；负责林地、林权管理；负责林地征用、占用初审；负责并监督森林资源和林地开发利用；负责林木种苗的生产经营管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负责全市陆生野生动物、植物资源的保护和合理开发；负责陆生野生动物保护中心（区、重点区域）的建设和管理。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协调、指导监督全市森林防火工作；指导全市林业执法工作和林业执法队伍建设，指导、协调、监督和查处破坏林业资源和野生动植物资源的重大案件；管理全市林果桑花病虫害的防治、检疫及进出我市的森林植物及其产品的检疫工作。</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指导全市林产工业和林业系统多种经营工作。</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负责各类商品林和风景林的培育和管理。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负责全市林业科技、教育、宣传和国际合作工作；指导全市林业队伍建设。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承办市政府交办的其他工作。</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二、机构设置：</w:t>
      </w:r>
    </w:p>
    <w:p>
      <w:pPr>
        <w:spacing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tbl>
      <w:tblPr>
        <w:tblStyle w:val="7"/>
        <w:tblW w:w="9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2052"/>
        <w:gridCol w:w="1275"/>
        <w:gridCol w:w="2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jc w:val="center"/>
        </w:trPr>
        <w:tc>
          <w:tcPr>
            <w:tcW w:w="3316" w:type="dxa"/>
            <w:vMerge w:val="restart"/>
            <w:vAlign w:val="center"/>
          </w:tcPr>
          <w:p>
            <w:pPr>
              <w:spacing w:line="560" w:lineRule="exact"/>
              <w:jc w:val="center"/>
              <w:rPr>
                <w:rFonts w:eastAsia="方正书宋_GBK"/>
                <w:b/>
              </w:rPr>
            </w:pPr>
            <w:r>
              <w:rPr>
                <w:rFonts w:eastAsia="方正书宋_GBK"/>
                <w:b/>
              </w:rPr>
              <w:t>单位名称</w:t>
            </w:r>
          </w:p>
        </w:tc>
        <w:tc>
          <w:tcPr>
            <w:tcW w:w="2052" w:type="dxa"/>
            <w:vMerge w:val="restart"/>
            <w:vAlign w:val="center"/>
          </w:tcPr>
          <w:p>
            <w:pPr>
              <w:spacing w:line="560" w:lineRule="exact"/>
              <w:jc w:val="center"/>
              <w:rPr>
                <w:rFonts w:eastAsia="方正书宋_GBK"/>
                <w:b/>
              </w:rPr>
            </w:pPr>
            <w:r>
              <w:rPr>
                <w:rFonts w:eastAsia="方正书宋_GBK"/>
                <w:b/>
              </w:rPr>
              <w:t>单位性质</w:t>
            </w:r>
          </w:p>
        </w:tc>
        <w:tc>
          <w:tcPr>
            <w:tcW w:w="1275" w:type="dxa"/>
            <w:vMerge w:val="restart"/>
            <w:vAlign w:val="center"/>
          </w:tcPr>
          <w:p>
            <w:pPr>
              <w:spacing w:line="560" w:lineRule="exact"/>
              <w:jc w:val="center"/>
              <w:rPr>
                <w:rFonts w:eastAsia="方正书宋_GBK"/>
                <w:b/>
              </w:rPr>
            </w:pPr>
            <w:r>
              <w:rPr>
                <w:rFonts w:eastAsia="方正书宋_GBK"/>
                <w:b/>
              </w:rPr>
              <w:t>单位规格</w:t>
            </w:r>
          </w:p>
        </w:tc>
        <w:tc>
          <w:tcPr>
            <w:tcW w:w="2457" w:type="dxa"/>
            <w:vMerge w:val="restart"/>
            <w:vAlign w:val="center"/>
          </w:tcPr>
          <w:p>
            <w:pPr>
              <w:spacing w:line="56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jc w:val="center"/>
        </w:trPr>
        <w:tc>
          <w:tcPr>
            <w:tcW w:w="3316" w:type="dxa"/>
            <w:vMerge w:val="continue"/>
            <w:vAlign w:val="center"/>
          </w:tcPr>
          <w:p>
            <w:pPr>
              <w:spacing w:line="560" w:lineRule="exact"/>
              <w:ind w:firstLine="420" w:firstLineChars="200"/>
              <w:jc w:val="center"/>
              <w:outlineLvl w:val="0"/>
            </w:pPr>
          </w:p>
        </w:tc>
        <w:tc>
          <w:tcPr>
            <w:tcW w:w="2052" w:type="dxa"/>
            <w:vMerge w:val="continue"/>
            <w:vAlign w:val="center"/>
          </w:tcPr>
          <w:p>
            <w:pPr>
              <w:spacing w:line="560" w:lineRule="exact"/>
              <w:ind w:firstLine="420" w:firstLineChars="200"/>
              <w:jc w:val="center"/>
              <w:outlineLvl w:val="0"/>
            </w:pPr>
          </w:p>
        </w:tc>
        <w:tc>
          <w:tcPr>
            <w:tcW w:w="1275" w:type="dxa"/>
            <w:vMerge w:val="continue"/>
            <w:vAlign w:val="center"/>
          </w:tcPr>
          <w:p>
            <w:pPr>
              <w:spacing w:line="560" w:lineRule="exact"/>
              <w:ind w:firstLine="420" w:firstLineChars="200"/>
              <w:jc w:val="center"/>
              <w:outlineLvl w:val="0"/>
            </w:pPr>
          </w:p>
        </w:tc>
        <w:tc>
          <w:tcPr>
            <w:tcW w:w="2457" w:type="dxa"/>
            <w:vMerge w:val="continue"/>
            <w:vAlign w:val="center"/>
          </w:tcPr>
          <w:p>
            <w:pPr>
              <w:spacing w:line="560" w:lineRule="exact"/>
              <w:ind w:firstLine="420" w:firstLineChars="200"/>
              <w:jc w:val="center"/>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316" w:type="dxa"/>
            <w:vAlign w:val="center"/>
          </w:tcPr>
          <w:p>
            <w:pPr>
              <w:spacing w:line="560" w:lineRule="exact"/>
              <w:jc w:val="center"/>
              <w:rPr>
                <w:rFonts w:eastAsia="方正书宋_GBK"/>
              </w:rPr>
            </w:pPr>
            <w:r>
              <w:rPr>
                <w:rFonts w:hint="eastAsia" w:eastAsia="方正书宋_GBK"/>
              </w:rPr>
              <w:t>霸州市林业局</w:t>
            </w:r>
          </w:p>
        </w:tc>
        <w:tc>
          <w:tcPr>
            <w:tcW w:w="2052" w:type="dxa"/>
            <w:vAlign w:val="center"/>
          </w:tcPr>
          <w:p>
            <w:pPr>
              <w:tabs>
                <w:tab w:val="left" w:pos="369"/>
              </w:tabs>
              <w:spacing w:line="560" w:lineRule="exact"/>
              <w:jc w:val="center"/>
              <w:rPr>
                <w:rFonts w:eastAsia="方正书宋_GBK"/>
              </w:rPr>
            </w:pPr>
            <w:r>
              <w:rPr>
                <w:rFonts w:hint="eastAsia" w:eastAsia="方正书宋_GBK"/>
              </w:rPr>
              <w:t>参公事业</w:t>
            </w:r>
          </w:p>
        </w:tc>
        <w:tc>
          <w:tcPr>
            <w:tcW w:w="1275" w:type="dxa"/>
            <w:vAlign w:val="center"/>
          </w:tcPr>
          <w:p>
            <w:pPr>
              <w:spacing w:line="560" w:lineRule="exact"/>
              <w:jc w:val="center"/>
              <w:rPr>
                <w:rFonts w:eastAsia="方正书宋_GBK"/>
              </w:rPr>
            </w:pPr>
            <w:r>
              <w:rPr>
                <w:rFonts w:eastAsia="方正书宋_GBK"/>
              </w:rPr>
              <w:t>正</w:t>
            </w:r>
            <w:r>
              <w:rPr>
                <w:rFonts w:hint="eastAsia" w:eastAsia="方正书宋_GBK"/>
              </w:rPr>
              <w:t>科</w:t>
            </w:r>
            <w:r>
              <w:rPr>
                <w:rFonts w:eastAsia="方正书宋_GBK"/>
              </w:rPr>
              <w:t>级</w:t>
            </w:r>
          </w:p>
        </w:tc>
        <w:tc>
          <w:tcPr>
            <w:tcW w:w="2457" w:type="dxa"/>
            <w:vAlign w:val="center"/>
          </w:tcPr>
          <w:p>
            <w:pPr>
              <w:spacing w:line="560" w:lineRule="exact"/>
              <w:jc w:val="center"/>
              <w:rPr>
                <w:rFonts w:eastAsia="方正书宋_GBK"/>
              </w:rPr>
            </w:pPr>
            <w:r>
              <w:rPr>
                <w:rFonts w:hint="eastAsia" w:eastAsia="方正书宋_GBK"/>
              </w:rPr>
              <w:t>财政性资金基本保证</w:t>
            </w:r>
          </w:p>
        </w:tc>
      </w:tr>
    </w:tbl>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黑体" w:hAnsi="黑体" w:eastAsia="黑体" w:cs="黑体"/>
          <w:color w:val="000000"/>
          <w:sz w:val="72"/>
          <w:szCs w:val="96"/>
        </w:rPr>
      </w:pPr>
      <w:r>
        <w:rPr>
          <w:rFonts w:hint="eastAsia" w:ascii="黑体" w:hAnsi="黑体" w:eastAsia="黑体" w:cs="黑体"/>
          <w:color w:val="000000"/>
          <w:sz w:val="72"/>
          <w:szCs w:val="96"/>
        </w:rPr>
        <w:t>第二部分</w:t>
      </w:r>
    </w:p>
    <w:p>
      <w:pPr>
        <w:widowControl/>
        <w:spacing w:line="1200" w:lineRule="exact"/>
        <w:jc w:val="center"/>
        <w:rPr>
          <w:rFonts w:ascii="黑体" w:hAnsi="黑体" w:eastAsia="黑体" w:cs="黑体"/>
          <w:color w:val="000000"/>
          <w:sz w:val="72"/>
          <w:szCs w:val="96"/>
        </w:rPr>
      </w:pPr>
      <w:r>
        <w:rPr>
          <w:rFonts w:hint="eastAsia" w:ascii="黑体" w:hAnsi="黑体" w:eastAsia="黑体" w:cs="黑体"/>
          <w:color w:val="000000"/>
          <w:sz w:val="72"/>
          <w:szCs w:val="96"/>
        </w:rPr>
        <w:t>2018年度部门决算报表</w:t>
      </w:r>
    </w:p>
    <w:p>
      <w:pPr>
        <w:widowControl/>
        <w:jc w:val="center"/>
      </w:pPr>
      <w:r>
        <w:rPr>
          <w:rFonts w:hint="eastAsia" w:ascii="黑体" w:hAnsi="黑体" w:eastAsia="黑体" w:cs="黑体"/>
          <w:color w:val="000000"/>
          <w:sz w:val="72"/>
          <w:szCs w:val="96"/>
        </w:rPr>
        <w:br w:type="page"/>
      </w:r>
      <w:r>
        <w:rPr>
          <w:rFonts w:hint="eastAsia"/>
          <w:szCs w:val="96"/>
        </w:rPr>
        <w:drawing>
          <wp:inline distT="0" distB="0" distL="0" distR="0">
            <wp:extent cx="5546725" cy="686689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5546725" cy="6866890"/>
                    </a:xfrm>
                    <a:prstGeom prst="rect">
                      <a:avLst/>
                    </a:prstGeom>
                    <a:noFill/>
                    <a:ln w="9525">
                      <a:noFill/>
                      <a:miter lim="800000"/>
                      <a:headEnd/>
                      <a:tailEnd/>
                    </a:ln>
                  </pic:spPr>
                </pic:pic>
              </a:graphicData>
            </a:graphic>
          </wp:inline>
        </w:drawing>
      </w:r>
    </w:p>
    <w:p>
      <w:pPr>
        <w:widowControl/>
        <w:jc w:val="center"/>
      </w:pPr>
    </w:p>
    <w:p>
      <w:pPr>
        <w:widowControl/>
        <w:jc w:val="center"/>
      </w:pPr>
    </w:p>
    <w:p>
      <w:pPr>
        <w:widowControl/>
        <w:jc w:val="center"/>
      </w:pPr>
    </w:p>
    <w:p>
      <w:pPr>
        <w:widowControl/>
        <w:jc w:val="center"/>
      </w:pPr>
    </w:p>
    <w:p>
      <w:pPr>
        <w:widowControl/>
        <w:jc w:val="center"/>
        <w:rPr>
          <w:rFonts w:ascii="宋体" w:hAnsi="宋体"/>
          <w:color w:val="000000"/>
          <w:sz w:val="72"/>
          <w:szCs w:val="96"/>
        </w:rPr>
      </w:pPr>
      <w:r>
        <w:rPr>
          <w:rFonts w:hint="eastAsia"/>
          <w:szCs w:val="96"/>
        </w:rPr>
        <w:drawing>
          <wp:inline distT="0" distB="0" distL="0" distR="0">
            <wp:extent cx="5607050" cy="426148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5607050" cy="4261485"/>
                    </a:xfrm>
                    <a:prstGeom prst="rect">
                      <a:avLst/>
                    </a:prstGeom>
                    <a:noFill/>
                    <a:ln w="9525">
                      <a:noFill/>
                      <a:miter lim="800000"/>
                      <a:headEnd/>
                      <a:tailEnd/>
                    </a:ln>
                  </pic:spPr>
                </pic:pic>
              </a:graphicData>
            </a:graphic>
          </wp:inline>
        </w:drawing>
      </w: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p>
    <w:p>
      <w:pPr>
        <w:widowControl/>
        <w:jc w:val="center"/>
        <w:rPr>
          <w:rFonts w:ascii="宋体" w:hAnsi="宋体"/>
          <w:color w:val="000000"/>
          <w:sz w:val="72"/>
          <w:szCs w:val="96"/>
        </w:rPr>
      </w:pPr>
      <w:r>
        <w:rPr>
          <w:rFonts w:hint="eastAsia"/>
          <w:szCs w:val="96"/>
        </w:rPr>
        <w:drawing>
          <wp:inline distT="0" distB="0" distL="0" distR="0">
            <wp:extent cx="5607050" cy="364045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5607050" cy="3640455"/>
                    </a:xfrm>
                    <a:prstGeom prst="rect">
                      <a:avLst/>
                    </a:prstGeom>
                    <a:noFill/>
                    <a:ln w="9525">
                      <a:noFill/>
                      <a:miter lim="800000"/>
                      <a:headEnd/>
                      <a:tailEnd/>
                    </a:ln>
                  </pic:spPr>
                </pic:pic>
              </a:graphicData>
            </a:graphic>
          </wp:inline>
        </w:drawing>
      </w: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p>
    <w:p>
      <w:pPr>
        <w:widowControl/>
        <w:jc w:val="center"/>
        <w:rPr>
          <w:rFonts w:ascii="宋体" w:hAnsi="宋体"/>
          <w:color w:val="000000"/>
          <w:sz w:val="72"/>
          <w:szCs w:val="96"/>
        </w:rPr>
      </w:pPr>
    </w:p>
    <w:p>
      <w:pPr>
        <w:widowControl/>
        <w:jc w:val="center"/>
        <w:rPr>
          <w:rFonts w:ascii="宋体" w:hAnsi="宋体"/>
          <w:color w:val="000000"/>
          <w:sz w:val="72"/>
          <w:szCs w:val="96"/>
        </w:rPr>
      </w:pPr>
      <w:r>
        <w:rPr>
          <w:rFonts w:hint="eastAsia"/>
          <w:szCs w:val="96"/>
        </w:rPr>
        <w:drawing>
          <wp:inline distT="0" distB="0" distL="0" distR="0">
            <wp:extent cx="5607050" cy="486537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5607050" cy="4865370"/>
                    </a:xfrm>
                    <a:prstGeom prst="rect">
                      <a:avLst/>
                    </a:prstGeom>
                    <a:noFill/>
                    <a:ln w="9525">
                      <a:noFill/>
                      <a:miter lim="800000"/>
                      <a:headEnd/>
                      <a:tailEnd/>
                    </a:ln>
                  </pic:spPr>
                </pic:pic>
              </a:graphicData>
            </a:graphic>
          </wp:inline>
        </w:drawing>
      </w: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p>
    <w:p>
      <w:pPr>
        <w:widowControl/>
        <w:jc w:val="center"/>
        <w:rPr>
          <w:rFonts w:ascii="宋体" w:hAnsi="宋体"/>
          <w:color w:val="000000"/>
          <w:sz w:val="72"/>
          <w:szCs w:val="96"/>
        </w:rPr>
      </w:pPr>
      <w:r>
        <w:rPr>
          <w:rFonts w:hint="eastAsia"/>
          <w:szCs w:val="96"/>
        </w:rPr>
        <w:drawing>
          <wp:inline distT="0" distB="0" distL="0" distR="0">
            <wp:extent cx="5615940" cy="3761105"/>
            <wp:effectExtent l="1905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5615940" cy="3761105"/>
                    </a:xfrm>
                    <a:prstGeom prst="rect">
                      <a:avLst/>
                    </a:prstGeom>
                    <a:noFill/>
                    <a:ln w="9525">
                      <a:noFill/>
                      <a:miter lim="800000"/>
                      <a:headEnd/>
                      <a:tailEnd/>
                    </a:ln>
                  </pic:spPr>
                </pic:pic>
              </a:graphicData>
            </a:graphic>
          </wp:inline>
        </w:drawing>
      </w: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r>
        <w:rPr>
          <w:rFonts w:hint="eastAsia"/>
          <w:szCs w:val="96"/>
        </w:rPr>
        <w:drawing>
          <wp:inline distT="0" distB="0" distL="0" distR="0">
            <wp:extent cx="5477510" cy="6694170"/>
            <wp:effectExtent l="1905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srcRect/>
                    <a:stretch>
                      <a:fillRect/>
                    </a:stretch>
                  </pic:blipFill>
                  <pic:spPr>
                    <a:xfrm>
                      <a:off x="0" y="0"/>
                      <a:ext cx="5477510" cy="6694170"/>
                    </a:xfrm>
                    <a:prstGeom prst="rect">
                      <a:avLst/>
                    </a:prstGeom>
                    <a:noFill/>
                    <a:ln w="9525">
                      <a:noFill/>
                      <a:miter lim="800000"/>
                      <a:headEnd/>
                      <a:tailEnd/>
                    </a:ln>
                  </pic:spPr>
                </pic:pic>
              </a:graphicData>
            </a:graphic>
          </wp:inline>
        </w:drawing>
      </w: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tbl>
      <w:tblPr>
        <w:tblStyle w:val="7"/>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jc w:val="center"/>
              <w:textAlignment w:val="center"/>
              <w:rPr>
                <w:rFonts w:ascii="黑体" w:hAnsi="宋体" w:eastAsia="黑体" w:cs="黑体"/>
                <w:sz w:val="40"/>
                <w:szCs w:val="40"/>
              </w:rPr>
            </w:pPr>
            <w:r>
              <w:rPr>
                <w:rFonts w:hint="eastAsia" w:ascii="黑体" w:hAnsi="宋体" w:eastAsia="黑体" w:cs="黑体"/>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rPr>
                <w:rFonts w:ascii="Arial" w:hAnsi="Arial" w:cs="Arial"/>
                <w:sz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rPr>
                <w:rFonts w:ascii="Arial" w:hAnsi="Arial" w:cs="Arial"/>
                <w:sz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rPr>
                <w:rFonts w:ascii="Arial" w:hAnsi="Arial" w:cs="Arial"/>
                <w:sz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rPr>
                <w:rFonts w:ascii="Arial" w:hAnsi="Arial" w:cs="Arial"/>
                <w:sz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rPr>
                <w:rFonts w:ascii="Arial" w:hAnsi="Arial" w:cs="Arial"/>
                <w:sz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jc w:val="right"/>
              <w:textAlignment w:val="center"/>
              <w:rPr>
                <w:rFonts w:ascii="宋体" w:hAnsi="宋体" w:cs="宋体"/>
                <w:sz w:val="20"/>
              </w:rPr>
            </w:pPr>
            <w:r>
              <w:rPr>
                <w:rFonts w:hint="eastAsia" w:ascii="宋体" w:hAnsi="宋体" w:cs="宋体"/>
                <w:kern w:val="0"/>
                <w:sz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jc w:val="left"/>
              <w:textAlignment w:val="center"/>
              <w:rPr>
                <w:rFonts w:ascii="宋体" w:hAnsi="宋体" w:cs="宋体"/>
                <w:sz w:val="20"/>
              </w:rPr>
            </w:pPr>
            <w:r>
              <w:rPr>
                <w:rFonts w:hint="eastAsia" w:ascii="宋体" w:hAnsi="宋体" w:cs="宋体"/>
                <w:kern w:val="0"/>
                <w:sz w:val="20"/>
              </w:rPr>
              <w:t>部门：</w:t>
            </w:r>
            <w:r>
              <w:rPr>
                <w:rFonts w:hint="eastAsia" w:ascii="宋体" w:hAnsi="宋体" w:cs="宋体"/>
                <w:kern w:val="0"/>
                <w:szCs w:val="21"/>
              </w:rPr>
              <w:t>廊坊市霸州市林业局（本级）</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jc w:val="right"/>
              <w:textAlignment w:val="center"/>
              <w:rPr>
                <w:rFonts w:ascii="宋体" w:hAnsi="宋体" w:cs="宋体"/>
                <w:sz w:val="20"/>
              </w:rPr>
            </w:pPr>
            <w:r>
              <w:rPr>
                <w:rFonts w:hint="eastAsia" w:ascii="宋体" w:hAnsi="宋体" w:cs="宋体"/>
                <w:kern w:val="0"/>
                <w:sz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r>
              <w:rPr>
                <w:rFonts w:hint="eastAsia" w:ascii="宋体" w:hAnsi="宋体" w:cs="宋体"/>
                <w:szCs w:val="21"/>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r>
              <w:rPr>
                <w:rFonts w:hint="eastAsia" w:ascii="宋体" w:hAnsi="宋体" w:cs="宋体"/>
                <w:szCs w:val="21"/>
              </w:rPr>
              <w:t>5</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r>
              <w:rPr>
                <w:rFonts w:hint="eastAsia" w:ascii="宋体" w:hAnsi="宋体" w:cs="宋体"/>
                <w:szCs w:val="21"/>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Cs w:val="21"/>
              </w:rPr>
            </w:pPr>
            <w:r>
              <w:rPr>
                <w:rFonts w:hint="eastAsia" w:ascii="宋体" w:hAnsi="宋体" w:cs="宋体"/>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r>
              <w:rPr>
                <w:rFonts w:hint="eastAsia" w:ascii="宋体" w:hAnsi="宋体" w:cs="宋体"/>
                <w:szCs w:val="21"/>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r>
              <w:rPr>
                <w:rFonts w:hint="eastAsia" w:ascii="宋体" w:hAnsi="宋体" w:cs="宋体"/>
                <w:szCs w:val="21"/>
              </w:rPr>
              <w:t>5</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r>
              <w:rPr>
                <w:rFonts w:hint="eastAsia" w:ascii="宋体" w:hAnsi="宋体" w:cs="宋体"/>
                <w:szCs w:val="21"/>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jc w:val="left"/>
              <w:textAlignment w:val="center"/>
              <w:rPr>
                <w:rFonts w:ascii="宋体" w:hAnsi="宋体" w:cs="宋体"/>
                <w:szCs w:val="21"/>
              </w:rPr>
            </w:pPr>
            <w:r>
              <w:rPr>
                <w:rFonts w:hint="eastAsia" w:ascii="宋体" w:hAnsi="宋体" w:cs="宋体"/>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r>
        <w:rPr>
          <w:rFonts w:hint="eastAsia"/>
          <w:szCs w:val="96"/>
        </w:rPr>
        <w:drawing>
          <wp:inline distT="0" distB="0" distL="0" distR="0">
            <wp:extent cx="5615940" cy="2070100"/>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srcRect/>
                    <a:stretch>
                      <a:fillRect/>
                    </a:stretch>
                  </pic:blipFill>
                  <pic:spPr>
                    <a:xfrm>
                      <a:off x="0" y="0"/>
                      <a:ext cx="5615940" cy="2070100"/>
                    </a:xfrm>
                    <a:prstGeom prst="rect">
                      <a:avLst/>
                    </a:prstGeom>
                    <a:noFill/>
                    <a:ln w="9525">
                      <a:noFill/>
                      <a:miter lim="800000"/>
                      <a:headEnd/>
                      <a:tailEnd/>
                    </a:ln>
                  </pic:spPr>
                </pic:pic>
              </a:graphicData>
            </a:graphic>
          </wp:inline>
        </w:drawing>
      </w:r>
    </w:p>
    <w:p>
      <w:pPr>
        <w:widowControl/>
        <w:jc w:val="center"/>
        <w:rPr>
          <w:rFonts w:ascii="宋体" w:hAnsi="宋体"/>
          <w:color w:val="000000"/>
          <w:sz w:val="72"/>
          <w:szCs w:val="96"/>
        </w:rPr>
      </w:pP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r>
        <w:rPr>
          <w:rFonts w:hint="eastAsia" w:ascii="宋体" w:hAnsi="宋体"/>
          <w:color w:val="000000"/>
          <w:sz w:val="72"/>
          <w:szCs w:val="96"/>
        </w:rPr>
        <w:object>
          <v:shape id="_x0000_i1025" o:spt="75" type="#_x0000_t75" style="height:258.1pt;width:446.95pt;" o:ole="t" filled="f" o:preferrelative="t" stroked="f" coordsize="21600,21600">
            <v:path/>
            <v:fill on="f" focussize="0,0"/>
            <v:stroke on="f" joinstyle="miter"/>
            <v:imagedata r:id="rId15" o:title=""/>
            <o:lock v:ext="edit" aspectratio="f"/>
            <w10:wrap type="none"/>
            <w10:anchorlock/>
          </v:shape>
          <o:OLEObject Type="Embed" ProgID="Excel.Sheet.12" ShapeID="_x0000_i1025" DrawAspect="Content" ObjectID="_1468075725" r:id="rId14">
            <o:LockedField>false</o:LockedField>
          </o:OLEObject>
        </w:object>
      </w: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 w:val="72"/>
          <w:szCs w:val="96"/>
        </w:rPr>
      </w:pPr>
      <w:r>
        <w:rPr>
          <w:rFonts w:hint="eastAsia"/>
          <w:szCs w:val="96"/>
        </w:rPr>
        <w:drawing>
          <wp:inline distT="0" distB="0" distL="0" distR="0">
            <wp:extent cx="5408930" cy="3631565"/>
            <wp:effectExtent l="1905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srcRect/>
                    <a:stretch>
                      <a:fillRect/>
                    </a:stretch>
                  </pic:blipFill>
                  <pic:spPr>
                    <a:xfrm>
                      <a:off x="0" y="0"/>
                      <a:ext cx="5408930" cy="3631565"/>
                    </a:xfrm>
                    <a:prstGeom prst="rect">
                      <a:avLst/>
                    </a:prstGeom>
                    <a:noFill/>
                    <a:ln w="9525">
                      <a:noFill/>
                      <a:miter lim="800000"/>
                      <a:headEnd/>
                      <a:tailEnd/>
                    </a:ln>
                  </pic:spPr>
                </pic:pic>
              </a:graphicData>
            </a:graphic>
          </wp:inline>
        </w:drawing>
      </w:r>
    </w:p>
    <w:p>
      <w:pPr>
        <w:widowControl/>
        <w:jc w:val="center"/>
        <w:rPr>
          <w:rFonts w:ascii="宋体" w:hAnsi="宋体"/>
          <w:color w:val="000000"/>
          <w:sz w:val="72"/>
          <w:szCs w:val="96"/>
        </w:rPr>
      </w:pPr>
    </w:p>
    <w:p>
      <w:pPr>
        <w:widowControl/>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widowControl/>
        <w:jc w:val="center"/>
        <w:rPr>
          <w:rFonts w:ascii="宋体" w:hAnsi="宋体"/>
          <w:color w:val="000000"/>
          <w:szCs w:val="21"/>
        </w:rPr>
      </w:pPr>
    </w:p>
    <w:p>
      <w:pPr>
        <w:widowControl/>
        <w:spacing w:line="1200" w:lineRule="exact"/>
        <w:jc w:val="center"/>
        <w:rPr>
          <w:rFonts w:ascii="黑体" w:hAnsi="黑体" w:eastAsia="黑体" w:cs="黑体"/>
          <w:color w:val="000000"/>
          <w:sz w:val="96"/>
          <w:szCs w:val="96"/>
        </w:rPr>
      </w:pPr>
      <w:r>
        <w:rPr>
          <w:rFonts w:hint="eastAsia" w:ascii="黑体" w:hAnsi="黑体" w:eastAsia="黑体" w:cs="黑体"/>
          <w:color w:val="000000"/>
          <w:sz w:val="96"/>
          <w:szCs w:val="96"/>
        </w:rPr>
        <w:t>第三部分</w:t>
      </w:r>
    </w:p>
    <w:p>
      <w:pPr>
        <w:widowControl/>
        <w:spacing w:line="1200" w:lineRule="exact"/>
        <w:jc w:val="center"/>
        <w:rPr>
          <w:rFonts w:ascii="宋体" w:hAnsi="宋体"/>
          <w:color w:val="000000"/>
          <w:sz w:val="72"/>
          <w:szCs w:val="96"/>
        </w:rPr>
      </w:pPr>
      <w:r>
        <w:rPr>
          <w:rFonts w:hint="eastAsia" w:ascii="黑体" w:hAnsi="黑体" w:eastAsia="黑体" w:cs="黑体"/>
          <w:color w:val="000000"/>
          <w:sz w:val="96"/>
          <w:szCs w:val="96"/>
        </w:rPr>
        <w:t>部门决算情况说明</w:t>
      </w:r>
    </w:p>
    <w:p>
      <w:pPr>
        <w:widowControl/>
        <w:spacing w:line="1200" w:lineRule="exact"/>
        <w:jc w:val="center"/>
        <w:rPr>
          <w:rFonts w:ascii="宋体" w:hAnsi="宋体"/>
          <w:color w:val="000000"/>
          <w:sz w:val="72"/>
          <w:szCs w:val="96"/>
        </w:rPr>
      </w:pPr>
    </w:p>
    <w:p>
      <w:pPr>
        <w:widowControl/>
        <w:spacing w:line="1200" w:lineRule="exact"/>
        <w:jc w:val="center"/>
        <w:rPr>
          <w:rFonts w:ascii="宋体" w:hAnsi="宋体"/>
          <w:color w:val="000000"/>
          <w:sz w:val="72"/>
          <w:szCs w:val="96"/>
        </w:rPr>
      </w:pPr>
    </w:p>
    <w:p>
      <w:pPr>
        <w:spacing w:line="560" w:lineRule="exact"/>
        <w:ind w:firstLine="640" w:firstLineChars="200"/>
        <w:rPr>
          <w:rFonts w:eastAsia="黑体"/>
          <w:sz w:val="32"/>
          <w:szCs w:val="32"/>
        </w:rPr>
      </w:pPr>
    </w:p>
    <w:p>
      <w:pPr>
        <w:spacing w:line="560" w:lineRule="exact"/>
        <w:ind w:firstLine="640" w:firstLineChars="200"/>
        <w:rPr>
          <w:rFonts w:eastAsia="黑体"/>
          <w:sz w:val="32"/>
          <w:szCs w:val="32"/>
        </w:rPr>
      </w:pP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snapToGrid w:val="0"/>
        <w:spacing w:line="560" w:lineRule="exact"/>
        <w:ind w:firstLine="640" w:firstLineChars="200"/>
        <w:rPr>
          <w:rFonts w:ascii="仿宋_GB2312" w:hAnsi="仿宋_GB2312" w:eastAsia="仿宋_GB2312"/>
          <w:sz w:val="32"/>
          <w:szCs w:val="32"/>
        </w:rPr>
      </w:pPr>
      <w:r>
        <w:rPr>
          <w:rFonts w:hint="eastAsia" w:ascii="仿宋_GB2312" w:hAnsi="仿宋" w:eastAsia="仿宋_GB2312"/>
          <w:sz w:val="32"/>
          <w:szCs w:val="32"/>
        </w:rPr>
        <w:t>本部门</w:t>
      </w:r>
      <w:r>
        <w:rPr>
          <w:rFonts w:ascii="仿宋_GB2312" w:hAnsi="仿宋" w:eastAsia="仿宋_GB2312"/>
          <w:sz w:val="32"/>
          <w:szCs w:val="32"/>
        </w:rPr>
        <w:t>201</w:t>
      </w:r>
      <w:r>
        <w:rPr>
          <w:rFonts w:hint="eastAsia" w:ascii="仿宋_GB2312" w:hAnsi="仿宋" w:eastAsia="仿宋_GB2312"/>
          <w:sz w:val="32"/>
          <w:szCs w:val="32"/>
        </w:rPr>
        <w:t>8</w:t>
      </w:r>
      <w:r>
        <w:rPr>
          <w:rFonts w:ascii="仿宋_GB2312" w:hAnsi="仿宋" w:eastAsia="仿宋_GB2312"/>
          <w:sz w:val="32"/>
          <w:szCs w:val="32"/>
        </w:rPr>
        <w:t>年</w:t>
      </w:r>
      <w:r>
        <w:rPr>
          <w:rFonts w:hint="eastAsia" w:ascii="仿宋_GB2312" w:hAnsi="仿宋" w:eastAsia="仿宋_GB2312"/>
          <w:sz w:val="32"/>
          <w:szCs w:val="32"/>
        </w:rPr>
        <w:t>度</w:t>
      </w:r>
      <w:r>
        <w:rPr>
          <w:rFonts w:ascii="仿宋_GB2312" w:hAnsi="仿宋_GB2312" w:eastAsia="仿宋_GB2312"/>
          <w:sz w:val="32"/>
        </w:rPr>
        <w:t>决算收入总计</w:t>
      </w:r>
      <w:r>
        <w:rPr>
          <w:rFonts w:hint="eastAsia" w:ascii="仿宋_GB2312" w:hAnsi="仿宋" w:eastAsia="仿宋_GB2312"/>
          <w:sz w:val="32"/>
          <w:szCs w:val="32"/>
        </w:rPr>
        <w:t>4138.61</w:t>
      </w:r>
      <w:r>
        <w:rPr>
          <w:rFonts w:ascii="仿宋_GB2312" w:hAnsi="仿宋_GB2312" w:eastAsia="仿宋_GB2312"/>
          <w:sz w:val="32"/>
        </w:rPr>
        <w:t>万元，决算支出总计</w:t>
      </w:r>
      <w:r>
        <w:rPr>
          <w:rFonts w:hint="eastAsia" w:ascii="仿宋_GB2312" w:hAnsi="仿宋" w:eastAsia="仿宋_GB2312"/>
          <w:sz w:val="32"/>
          <w:szCs w:val="32"/>
        </w:rPr>
        <w:t>6568.08</w:t>
      </w:r>
      <w:r>
        <w:rPr>
          <w:rFonts w:ascii="仿宋_GB2312" w:hAnsi="仿宋_GB2312" w:eastAsia="仿宋_GB2312"/>
          <w:sz w:val="32"/>
        </w:rPr>
        <w:t>万元。与201</w:t>
      </w:r>
      <w:r>
        <w:rPr>
          <w:rFonts w:hint="eastAsia" w:ascii="仿宋_GB2312" w:hAnsi="仿宋_GB2312" w:eastAsia="仿宋_GB2312"/>
          <w:sz w:val="32"/>
        </w:rPr>
        <w:t>7</w:t>
      </w:r>
      <w:r>
        <w:rPr>
          <w:rFonts w:ascii="仿宋_GB2312" w:hAnsi="仿宋_GB2312" w:eastAsia="仿宋_GB2312"/>
          <w:sz w:val="32"/>
        </w:rPr>
        <w:t>年</w:t>
      </w:r>
      <w:r>
        <w:rPr>
          <w:rFonts w:hint="eastAsia" w:ascii="仿宋_GB2312" w:hAnsi="仿宋_GB2312" w:eastAsia="仿宋_GB2312"/>
          <w:sz w:val="32"/>
        </w:rPr>
        <w:t>度决算</w:t>
      </w:r>
      <w:r>
        <w:rPr>
          <w:rFonts w:ascii="仿宋_GB2312" w:hAnsi="仿宋_GB2312" w:eastAsia="仿宋_GB2312"/>
          <w:sz w:val="32"/>
        </w:rPr>
        <w:t>相比，</w:t>
      </w:r>
      <w:r>
        <w:rPr>
          <w:rFonts w:hint="eastAsia" w:ascii="仿宋_GB2312" w:hAnsi="仿宋_GB2312" w:eastAsia="仿宋_GB2312"/>
          <w:sz w:val="32"/>
        </w:rPr>
        <w:t>收入减少433.19</w:t>
      </w:r>
      <w:r>
        <w:rPr>
          <w:rFonts w:ascii="仿宋_GB2312" w:hAnsi="仿宋_GB2312" w:eastAsia="仿宋_GB2312"/>
          <w:sz w:val="32"/>
        </w:rPr>
        <w:t>万元，</w:t>
      </w:r>
      <w:r>
        <w:rPr>
          <w:rFonts w:hint="eastAsia" w:ascii="仿宋_GB2312" w:hAnsi="仿宋_GB2312" w:eastAsia="仿宋_GB2312"/>
          <w:sz w:val="32"/>
        </w:rPr>
        <w:t>下降9.48</w:t>
      </w:r>
      <w:r>
        <w:rPr>
          <w:rFonts w:ascii="仿宋_GB2312" w:hAnsi="仿宋_GB2312" w:eastAsia="仿宋_GB2312"/>
          <w:sz w:val="32"/>
        </w:rPr>
        <w:t>%，主要原因是</w:t>
      </w:r>
      <w:r>
        <w:rPr>
          <w:rFonts w:hint="eastAsia" w:ascii="仿宋_GB2312" w:hAnsi="仿宋" w:eastAsia="仿宋_GB2312"/>
          <w:sz w:val="32"/>
          <w:szCs w:val="32"/>
        </w:rPr>
        <w:t>2018年度造林绿化奖补较上年有所增加；支出增加3606.68万元，增长121.79%，</w:t>
      </w:r>
      <w:r>
        <w:rPr>
          <w:rFonts w:ascii="仿宋_GB2312" w:hAnsi="仿宋_GB2312" w:eastAsia="仿宋_GB2312"/>
          <w:sz w:val="32"/>
        </w:rPr>
        <w:t>主要原因是</w:t>
      </w:r>
      <w:r>
        <w:rPr>
          <w:rFonts w:hint="eastAsia" w:ascii="仿宋_GB2312" w:hAnsi="仿宋" w:eastAsia="仿宋_GB2312"/>
          <w:sz w:val="32"/>
          <w:szCs w:val="32"/>
        </w:rPr>
        <w:t>2018年度造林绿化奖补较上年有所增加</w:t>
      </w:r>
      <w:r>
        <w:rPr>
          <w:rFonts w:ascii="仿宋_GB2312" w:hAnsi="仿宋_GB2312" w:eastAsia="仿宋_GB2312"/>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二、收入决算情况说明</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w:t>
      </w:r>
      <w:r>
        <w:rPr>
          <w:rFonts w:ascii="仿宋_GB2312" w:hAnsi="仿宋" w:eastAsia="仿宋_GB2312"/>
          <w:sz w:val="32"/>
          <w:szCs w:val="32"/>
        </w:rPr>
        <w:t>201</w:t>
      </w:r>
      <w:r>
        <w:rPr>
          <w:rFonts w:hint="eastAsia" w:ascii="仿宋_GB2312" w:hAnsi="仿宋" w:eastAsia="仿宋_GB2312"/>
          <w:sz w:val="32"/>
          <w:szCs w:val="32"/>
        </w:rPr>
        <w:t>8</w:t>
      </w:r>
      <w:r>
        <w:rPr>
          <w:rFonts w:ascii="仿宋_GB2312" w:hAnsi="仿宋" w:eastAsia="仿宋_GB2312"/>
          <w:sz w:val="32"/>
          <w:szCs w:val="32"/>
        </w:rPr>
        <w:t>年</w:t>
      </w:r>
      <w:r>
        <w:rPr>
          <w:rFonts w:hint="eastAsia" w:ascii="仿宋_GB2312" w:hAnsi="仿宋" w:eastAsia="仿宋_GB2312"/>
          <w:sz w:val="32"/>
          <w:szCs w:val="32"/>
        </w:rPr>
        <w:t>度</w:t>
      </w:r>
      <w:r>
        <w:rPr>
          <w:rFonts w:ascii="仿宋_GB2312" w:hAnsi="仿宋" w:eastAsia="仿宋_GB2312"/>
          <w:sz w:val="32"/>
          <w:szCs w:val="32"/>
        </w:rPr>
        <w:t>收入</w:t>
      </w:r>
      <w:r>
        <w:rPr>
          <w:rFonts w:hint="eastAsia" w:ascii="仿宋_GB2312" w:hAnsi="仿宋" w:eastAsia="仿宋_GB2312"/>
          <w:sz w:val="32"/>
          <w:szCs w:val="32"/>
        </w:rPr>
        <w:t>合计4138.61</w:t>
      </w:r>
      <w:r>
        <w:rPr>
          <w:rFonts w:ascii="仿宋_GB2312" w:hAnsi="仿宋" w:eastAsia="仿宋_GB2312"/>
          <w:sz w:val="32"/>
          <w:szCs w:val="32"/>
        </w:rPr>
        <w:t>万元，其中</w:t>
      </w:r>
      <w:r>
        <w:rPr>
          <w:rFonts w:hint="eastAsia" w:ascii="仿宋_GB2312" w:hAnsi="仿宋" w:eastAsia="仿宋_GB2312"/>
          <w:sz w:val="32"/>
          <w:szCs w:val="32"/>
        </w:rPr>
        <w:t>财政拨款收入4138.61</w:t>
      </w:r>
      <w:r>
        <w:rPr>
          <w:rFonts w:ascii="仿宋_GB2312" w:hAnsi="仿宋" w:eastAsia="仿宋_GB2312"/>
          <w:sz w:val="32"/>
          <w:szCs w:val="32"/>
        </w:rPr>
        <w:t>万元</w:t>
      </w:r>
      <w:r>
        <w:rPr>
          <w:rFonts w:hint="eastAsia" w:ascii="仿宋_GB2312" w:hAnsi="仿宋" w:eastAsia="仿宋_GB2312"/>
          <w:sz w:val="32"/>
          <w:szCs w:val="32"/>
        </w:rPr>
        <w:t>，占比100%；事业收入0万元，占比0%；其他收入0万元，占比0%。如表所示：</w:t>
      </w:r>
    </w:p>
    <w:tbl>
      <w:tblPr>
        <w:tblStyle w:val="7"/>
        <w:tblW w:w="9120" w:type="dxa"/>
        <w:tblInd w:w="0" w:type="dxa"/>
        <w:tblLayout w:type="fixed"/>
        <w:tblCellMar>
          <w:top w:w="15" w:type="dxa"/>
          <w:left w:w="15" w:type="dxa"/>
          <w:bottom w:w="15" w:type="dxa"/>
          <w:right w:w="15" w:type="dxa"/>
        </w:tblCellMar>
      </w:tblPr>
      <w:tblGrid>
        <w:gridCol w:w="2329"/>
        <w:gridCol w:w="1778"/>
        <w:gridCol w:w="1603"/>
        <w:gridCol w:w="1603"/>
        <w:gridCol w:w="1807"/>
      </w:tblGrid>
      <w:tr>
        <w:tblPrEx>
          <w:tblCellMar>
            <w:top w:w="15" w:type="dxa"/>
            <w:left w:w="15" w:type="dxa"/>
            <w:bottom w:w="15" w:type="dxa"/>
            <w:right w:w="15" w:type="dxa"/>
          </w:tblCellMar>
        </w:tblPrEx>
        <w:trPr>
          <w:trHeight w:val="494" w:hRule="atLeast"/>
        </w:trPr>
        <w:tc>
          <w:tcPr>
            <w:tcW w:w="9120" w:type="dxa"/>
            <w:gridSpan w:val="5"/>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表1：收入决算结构</w:t>
            </w:r>
          </w:p>
        </w:tc>
      </w:tr>
      <w:tr>
        <w:tblPrEx>
          <w:tblCellMar>
            <w:top w:w="15" w:type="dxa"/>
            <w:left w:w="15" w:type="dxa"/>
            <w:bottom w:w="15" w:type="dxa"/>
            <w:right w:w="15" w:type="dxa"/>
          </w:tblCellMar>
        </w:tblPrEx>
        <w:trPr>
          <w:trHeight w:val="508" w:hRule="atLeast"/>
        </w:trPr>
        <w:tc>
          <w:tcPr>
            <w:tcW w:w="2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财政拨款收入</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事业收入</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经营收入</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其他收入</w:t>
            </w:r>
          </w:p>
        </w:tc>
      </w:tr>
      <w:tr>
        <w:tblPrEx>
          <w:tblCellMar>
            <w:top w:w="15" w:type="dxa"/>
            <w:left w:w="15" w:type="dxa"/>
            <w:bottom w:w="15" w:type="dxa"/>
            <w:right w:w="15" w:type="dxa"/>
          </w:tblCellMar>
        </w:tblPrEx>
        <w:trPr>
          <w:trHeight w:val="508" w:hRule="atLeast"/>
        </w:trPr>
        <w:tc>
          <w:tcPr>
            <w:tcW w:w="2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金额（万元）</w:t>
            </w:r>
          </w:p>
        </w:tc>
        <w:tc>
          <w:tcPr>
            <w:tcW w:w="17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4138.61</w:t>
            </w:r>
          </w:p>
        </w:tc>
        <w:tc>
          <w:tcPr>
            <w:tcW w:w="160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c>
          <w:tcPr>
            <w:tcW w:w="160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c>
          <w:tcPr>
            <w:tcW w:w="18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r>
      <w:tr>
        <w:tblPrEx>
          <w:tblCellMar>
            <w:top w:w="15" w:type="dxa"/>
            <w:left w:w="15" w:type="dxa"/>
            <w:bottom w:w="15" w:type="dxa"/>
            <w:right w:w="15" w:type="dxa"/>
          </w:tblCellMar>
        </w:tblPrEx>
        <w:trPr>
          <w:trHeight w:val="523" w:hRule="atLeast"/>
        </w:trPr>
        <w:tc>
          <w:tcPr>
            <w:tcW w:w="2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占比（%）</w:t>
            </w:r>
          </w:p>
        </w:tc>
        <w:tc>
          <w:tcPr>
            <w:tcW w:w="17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100</w:t>
            </w:r>
          </w:p>
        </w:tc>
        <w:tc>
          <w:tcPr>
            <w:tcW w:w="160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c>
          <w:tcPr>
            <w:tcW w:w="160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c>
          <w:tcPr>
            <w:tcW w:w="18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r>
    </w:tbl>
    <w:p>
      <w:pPr>
        <w:snapToGrid w:val="0"/>
        <w:spacing w:line="560" w:lineRule="exact"/>
        <w:ind w:firstLine="640" w:firstLineChars="200"/>
        <w:rPr>
          <w:rFonts w:ascii="仿宋_GB2312" w:hAnsi="仿宋" w:eastAsia="仿宋_GB2312"/>
          <w:sz w:val="32"/>
          <w:szCs w:val="32"/>
        </w:rPr>
      </w:pP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snapToGrid w:val="0"/>
        <w:spacing w:line="560" w:lineRule="exact"/>
        <w:ind w:left="420" w:leftChars="200" w:firstLine="640" w:firstLineChars="200"/>
        <w:rPr>
          <w:rFonts w:ascii="仿宋_GB2312" w:hAnsi="仿宋" w:eastAsia="仿宋_GB2312"/>
          <w:sz w:val="32"/>
          <w:szCs w:val="32"/>
        </w:rPr>
      </w:pPr>
      <w:r>
        <w:rPr>
          <w:rFonts w:hint="eastAsia" w:ascii="楷体" w:hAnsi="楷体" w:eastAsia="楷体" w:cs="楷体"/>
          <w:sz w:val="32"/>
          <w:szCs w:val="32"/>
        </w:rPr>
        <w:t>本</w:t>
      </w:r>
      <w:r>
        <w:rPr>
          <w:rFonts w:hint="eastAsia" w:ascii="仿宋_GB2312" w:hAnsi="仿宋" w:eastAsia="仿宋_GB2312"/>
          <w:sz w:val="32"/>
          <w:szCs w:val="32"/>
        </w:rPr>
        <w:t>部门</w:t>
      </w:r>
      <w:r>
        <w:rPr>
          <w:rFonts w:ascii="仿宋_GB2312" w:hAnsi="仿宋" w:eastAsia="仿宋_GB2312"/>
          <w:sz w:val="32"/>
          <w:szCs w:val="32"/>
        </w:rPr>
        <w:t>201</w:t>
      </w:r>
      <w:r>
        <w:rPr>
          <w:rFonts w:hint="eastAsia" w:ascii="仿宋_GB2312" w:hAnsi="仿宋" w:eastAsia="仿宋_GB2312"/>
          <w:sz w:val="32"/>
          <w:szCs w:val="32"/>
        </w:rPr>
        <w:t>8</w:t>
      </w:r>
      <w:r>
        <w:rPr>
          <w:rFonts w:ascii="仿宋_GB2312" w:hAnsi="仿宋" w:eastAsia="仿宋_GB2312"/>
          <w:sz w:val="32"/>
          <w:szCs w:val="32"/>
        </w:rPr>
        <w:t>年部门</w:t>
      </w:r>
      <w:r>
        <w:rPr>
          <w:rFonts w:hint="eastAsia" w:ascii="仿宋_GB2312" w:hAnsi="仿宋" w:eastAsia="仿宋_GB2312"/>
          <w:sz w:val="32"/>
          <w:szCs w:val="32"/>
        </w:rPr>
        <w:t>决</w:t>
      </w:r>
      <w:r>
        <w:rPr>
          <w:rFonts w:ascii="仿宋_GB2312" w:hAnsi="仿宋" w:eastAsia="仿宋_GB2312"/>
          <w:sz w:val="32"/>
          <w:szCs w:val="32"/>
        </w:rPr>
        <w:t>算支出为</w:t>
      </w:r>
      <w:r>
        <w:rPr>
          <w:rFonts w:hint="eastAsia" w:ascii="仿宋_GB2312" w:hAnsi="仿宋" w:eastAsia="仿宋_GB2312"/>
          <w:sz w:val="32"/>
          <w:szCs w:val="32"/>
        </w:rPr>
        <w:t>6568.08</w:t>
      </w:r>
      <w:r>
        <w:rPr>
          <w:rFonts w:ascii="仿宋_GB2312" w:hAnsi="仿宋" w:eastAsia="仿宋_GB2312"/>
          <w:sz w:val="32"/>
          <w:szCs w:val="32"/>
        </w:rPr>
        <w:t>万元，其中：基本支出</w:t>
      </w:r>
      <w:r>
        <w:rPr>
          <w:rFonts w:hint="eastAsia" w:ascii="仿宋_GB2312" w:hAnsi="仿宋" w:eastAsia="仿宋_GB2312"/>
          <w:sz w:val="32"/>
          <w:szCs w:val="32"/>
        </w:rPr>
        <w:t>545.89</w:t>
      </w:r>
      <w:r>
        <w:rPr>
          <w:rFonts w:ascii="仿宋_GB2312" w:hAnsi="仿宋" w:eastAsia="仿宋_GB2312"/>
          <w:sz w:val="32"/>
          <w:szCs w:val="32"/>
        </w:rPr>
        <w:t>万元，</w:t>
      </w:r>
      <w:r>
        <w:rPr>
          <w:rFonts w:hint="eastAsia" w:ascii="仿宋_GB2312" w:hAnsi="仿宋" w:eastAsia="仿宋_GB2312"/>
          <w:sz w:val="32"/>
          <w:szCs w:val="32"/>
        </w:rPr>
        <w:t>占比8.32%，</w:t>
      </w:r>
      <w:r>
        <w:rPr>
          <w:rFonts w:ascii="仿宋_GB2312" w:hAnsi="仿宋" w:eastAsia="仿宋_GB2312"/>
          <w:sz w:val="32"/>
          <w:szCs w:val="32"/>
        </w:rPr>
        <w:t>包含人员经费支出</w:t>
      </w:r>
      <w:r>
        <w:rPr>
          <w:rFonts w:hint="eastAsia" w:ascii="仿宋_GB2312" w:hAnsi="仿宋" w:eastAsia="仿宋_GB2312"/>
          <w:sz w:val="32"/>
          <w:szCs w:val="32"/>
        </w:rPr>
        <w:t>510.3</w:t>
      </w:r>
      <w:r>
        <w:rPr>
          <w:rFonts w:ascii="仿宋_GB2312" w:hAnsi="仿宋" w:eastAsia="仿宋_GB2312"/>
          <w:sz w:val="32"/>
          <w:szCs w:val="32"/>
        </w:rPr>
        <w:t>万元和日常公用经费支出</w:t>
      </w:r>
      <w:r>
        <w:rPr>
          <w:rFonts w:hint="eastAsia" w:ascii="仿宋_GB2312" w:hAnsi="仿宋" w:eastAsia="仿宋_GB2312"/>
          <w:sz w:val="32"/>
          <w:szCs w:val="32"/>
        </w:rPr>
        <w:t>35.59</w:t>
      </w:r>
      <w:r>
        <w:rPr>
          <w:rFonts w:ascii="仿宋_GB2312" w:hAnsi="仿宋" w:eastAsia="仿宋_GB2312"/>
          <w:sz w:val="32"/>
          <w:szCs w:val="32"/>
        </w:rPr>
        <w:t>万元；项目支出</w:t>
      </w:r>
      <w:r>
        <w:rPr>
          <w:rFonts w:hint="eastAsia" w:ascii="仿宋_GB2312" w:hAnsi="仿宋" w:eastAsia="仿宋_GB2312"/>
          <w:sz w:val="32"/>
          <w:szCs w:val="32"/>
        </w:rPr>
        <w:t>6022.19</w:t>
      </w:r>
      <w:r>
        <w:rPr>
          <w:rFonts w:ascii="仿宋_GB2312" w:hAnsi="仿宋" w:eastAsia="仿宋_GB2312"/>
          <w:sz w:val="32"/>
          <w:szCs w:val="32"/>
        </w:rPr>
        <w:t>万元</w:t>
      </w:r>
      <w:r>
        <w:rPr>
          <w:rFonts w:hint="eastAsia" w:ascii="仿宋_GB2312" w:hAnsi="仿宋" w:eastAsia="仿宋_GB2312"/>
          <w:sz w:val="32"/>
          <w:szCs w:val="32"/>
        </w:rPr>
        <w:t>，占比91.69%</w:t>
      </w:r>
      <w:r>
        <w:rPr>
          <w:rFonts w:ascii="仿宋_GB2312" w:hAnsi="仿宋" w:eastAsia="仿宋_GB2312"/>
          <w:sz w:val="32"/>
          <w:szCs w:val="32"/>
        </w:rPr>
        <w:t>。</w:t>
      </w:r>
      <w:r>
        <w:rPr>
          <w:rFonts w:hint="eastAsia" w:ascii="仿宋_GB2312" w:hAnsi="仿宋" w:eastAsia="仿宋_GB2312"/>
          <w:sz w:val="32"/>
          <w:szCs w:val="32"/>
        </w:rPr>
        <w:t>如表所示：</w:t>
      </w:r>
    </w:p>
    <w:tbl>
      <w:tblPr>
        <w:tblStyle w:val="7"/>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545.89</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6022.19</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占比（%）</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8.32</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91.69</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0</w:t>
            </w:r>
          </w:p>
        </w:tc>
      </w:tr>
    </w:tbl>
    <w:p>
      <w:pPr>
        <w:snapToGrid w:val="0"/>
        <w:spacing w:line="560" w:lineRule="exact"/>
        <w:ind w:left="420" w:leftChars="200" w:firstLine="640" w:firstLineChars="200"/>
        <w:rPr>
          <w:rFonts w:ascii="仿宋_GB2312" w:hAnsi="仿宋" w:eastAsia="仿宋_GB2312"/>
          <w:sz w:val="32"/>
          <w:szCs w:val="32"/>
        </w:rPr>
      </w:pP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3" w:firstLineChars="200"/>
        <w:rPr>
          <w:rFonts w:ascii="仿宋" w:hAnsi="仿宋" w:eastAsia="仿宋" w:cs="仿宋"/>
          <w:b/>
          <w:bCs/>
          <w:sz w:val="32"/>
        </w:rPr>
      </w:pPr>
      <w:r>
        <w:rPr>
          <w:rFonts w:hint="eastAsia" w:ascii="仿宋" w:hAnsi="仿宋" w:eastAsia="仿宋" w:cs="仿宋"/>
          <w:b/>
          <w:bCs/>
          <w:sz w:val="32"/>
        </w:rPr>
        <w:t>（一）财政拨款收支与2017年度决算对比情况</w:t>
      </w:r>
    </w:p>
    <w:p>
      <w:pPr>
        <w:pStyle w:val="12"/>
        <w:ind w:firstLine="640" w:firstLineChars="200"/>
        <w:rPr>
          <w:rFonts w:ascii="仿宋" w:hAnsi="仿宋" w:eastAsia="仿宋"/>
          <w:sz w:val="32"/>
          <w:szCs w:val="32"/>
        </w:rPr>
      </w:pPr>
      <w:r>
        <w:rPr>
          <w:rFonts w:hint="eastAsia" w:ascii="仿宋_GB2312" w:eastAsia="仿宋_GB2312" w:cs="DengXian-Regular"/>
          <w:sz w:val="32"/>
          <w:szCs w:val="32"/>
        </w:rPr>
        <w:t>本部门2018年度财政拨款本年收入4138.61万元,比2017年度</w:t>
      </w:r>
      <w:r>
        <w:rPr>
          <w:rFonts w:hint="eastAsia" w:ascii="仿宋" w:hAnsi="仿宋" w:eastAsia="仿宋" w:cs="仿宋"/>
          <w:sz w:val="32"/>
          <w:szCs w:val="32"/>
        </w:rPr>
        <w:t>增加591.31万元，</w:t>
      </w:r>
      <w:r>
        <w:rPr>
          <w:rFonts w:hint="eastAsia" w:ascii="仿宋" w:hAnsi="仿宋" w:eastAsia="仿宋" w:cs="仿宋"/>
          <w:sz w:val="32"/>
        </w:rPr>
        <w:t>增长16.67%</w:t>
      </w:r>
      <w:r>
        <w:rPr>
          <w:rFonts w:hint="eastAsia" w:ascii="仿宋_GB2312" w:eastAsia="仿宋_GB2312" w:cs="DengXian-Regular"/>
          <w:sz w:val="32"/>
          <w:szCs w:val="32"/>
        </w:rPr>
        <w:t>，</w:t>
      </w:r>
      <w:r>
        <w:rPr>
          <w:rFonts w:hint="eastAsia" w:ascii="仿宋" w:hAnsi="仿宋" w:eastAsia="仿宋" w:cs="仿宋"/>
          <w:sz w:val="32"/>
        </w:rPr>
        <w:t>主要原因是</w:t>
      </w:r>
      <w:r>
        <w:rPr>
          <w:rFonts w:hint="eastAsia" w:ascii="仿宋" w:hAnsi="仿宋" w:eastAsia="仿宋" w:cs="仿宋"/>
          <w:sz w:val="32"/>
          <w:szCs w:val="32"/>
        </w:rPr>
        <w:t>2018年度本级造林绿化工程奖补面积增加</w:t>
      </w:r>
      <w:r>
        <w:rPr>
          <w:rFonts w:hint="eastAsia" w:ascii="仿宋_GB2312" w:eastAsia="仿宋_GB2312" w:cs="DengXian-Regular"/>
          <w:sz w:val="32"/>
          <w:szCs w:val="32"/>
        </w:rPr>
        <w:t>；本年支出</w:t>
      </w:r>
      <w:r>
        <w:rPr>
          <w:rFonts w:hint="eastAsia" w:ascii="仿宋" w:hAnsi="仿宋" w:eastAsia="仿宋" w:cs="仿宋"/>
          <w:sz w:val="32"/>
          <w:szCs w:val="32"/>
        </w:rPr>
        <w:t>5194.28</w:t>
      </w:r>
      <w:r>
        <w:rPr>
          <w:rFonts w:hint="eastAsia" w:ascii="仿宋_GB2312" w:eastAsia="仿宋_GB2312" w:cs="DengXian-Regular"/>
          <w:sz w:val="32"/>
          <w:szCs w:val="32"/>
        </w:rPr>
        <w:t>万元，</w:t>
      </w:r>
      <w:r>
        <w:rPr>
          <w:rFonts w:hint="eastAsia" w:ascii="仿宋" w:hAnsi="仿宋" w:eastAsia="仿宋" w:cs="仿宋"/>
          <w:sz w:val="32"/>
          <w:szCs w:val="32"/>
        </w:rPr>
        <w:t>增加2917.38万元，</w:t>
      </w:r>
      <w:r>
        <w:rPr>
          <w:rFonts w:hint="eastAsia" w:ascii="仿宋" w:hAnsi="仿宋" w:eastAsia="仿宋" w:cs="仿宋"/>
          <w:sz w:val="32"/>
        </w:rPr>
        <w:t>增长</w:t>
      </w:r>
      <w:r>
        <w:rPr>
          <w:rFonts w:hint="eastAsia" w:ascii="仿宋" w:hAnsi="仿宋" w:eastAsia="仿宋" w:cs="仿宋"/>
          <w:sz w:val="32"/>
          <w:szCs w:val="32"/>
        </w:rPr>
        <w:t>128.13</w:t>
      </w:r>
      <w:r>
        <w:rPr>
          <w:rFonts w:hint="eastAsia" w:ascii="仿宋" w:hAnsi="仿宋" w:eastAsia="仿宋" w:cs="仿宋"/>
          <w:sz w:val="32"/>
        </w:rPr>
        <w:t>%</w:t>
      </w:r>
      <w:r>
        <w:rPr>
          <w:rFonts w:hint="eastAsia" w:ascii="仿宋_GB2312" w:eastAsia="仿宋_GB2312" w:cs="DengXian-Regular"/>
          <w:sz w:val="32"/>
          <w:szCs w:val="32"/>
        </w:rPr>
        <w:t>，</w:t>
      </w:r>
      <w:r>
        <w:rPr>
          <w:rFonts w:hint="eastAsia" w:ascii="仿宋" w:hAnsi="仿宋" w:eastAsia="仿宋" w:cs="仿宋"/>
          <w:sz w:val="32"/>
        </w:rPr>
        <w:t>主要原因是</w:t>
      </w:r>
      <w:r>
        <w:rPr>
          <w:rFonts w:hint="eastAsia" w:ascii="仿宋" w:hAnsi="仿宋" w:eastAsia="仿宋" w:cs="仿宋"/>
          <w:sz w:val="32"/>
          <w:szCs w:val="32"/>
        </w:rPr>
        <w:t>本级造林绿化工程投入加大。</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其中：一般公共预算财政拨款本年收入2076.54万元，比2017年度</w:t>
      </w:r>
      <w:r>
        <w:rPr>
          <w:rFonts w:hint="eastAsia" w:ascii="仿宋" w:hAnsi="仿宋" w:eastAsia="仿宋" w:cs="仿宋"/>
          <w:sz w:val="32"/>
          <w:szCs w:val="32"/>
        </w:rPr>
        <w:t>29.24</w:t>
      </w:r>
      <w:r>
        <w:rPr>
          <w:rFonts w:hint="eastAsia" w:ascii="仿宋_GB2312" w:eastAsia="仿宋_GB2312" w:cs="DengXian-Regular"/>
          <w:sz w:val="32"/>
          <w:szCs w:val="32"/>
        </w:rPr>
        <w:t>万元；主要是</w:t>
      </w:r>
      <w:r>
        <w:rPr>
          <w:rFonts w:hint="eastAsia" w:ascii="仿宋" w:hAnsi="仿宋" w:eastAsia="仿宋" w:cs="仿宋"/>
          <w:sz w:val="32"/>
          <w:szCs w:val="32"/>
        </w:rPr>
        <w:t>本级造林病虫害防治任务增大</w:t>
      </w:r>
      <w:r>
        <w:rPr>
          <w:rFonts w:hint="eastAsia" w:ascii="仿宋_GB2312" w:eastAsia="仿宋_GB2312" w:cs="DengXian-Regular"/>
          <w:sz w:val="32"/>
          <w:szCs w:val="32"/>
        </w:rPr>
        <w:t>；本年支出1631.69万元，比2017年度增加851.77万元，增长109.21%，主要是病虫害防治、森林防火、宣传等支出。政府性基金预算财政拨款本年收入2062.07万元，比2017年度增加562.07万元，增长37.47%，主要是</w:t>
      </w:r>
      <w:r>
        <w:rPr>
          <w:rFonts w:hint="eastAsia" w:ascii="仿宋" w:hAnsi="仿宋" w:eastAsia="仿宋" w:cs="仿宋"/>
          <w:sz w:val="32"/>
          <w:szCs w:val="32"/>
        </w:rPr>
        <w:t>本级造林绿化工程投入加大</w:t>
      </w:r>
      <w:r>
        <w:rPr>
          <w:rFonts w:hint="eastAsia" w:ascii="仿宋_GB2312" w:eastAsia="仿宋_GB2312" w:cs="DengXian-Regular"/>
          <w:sz w:val="32"/>
          <w:szCs w:val="32"/>
        </w:rPr>
        <w:t>；本年支出2062.07万元，比2017年度增加562.07万元，增长37.47%，主要是</w:t>
      </w:r>
      <w:r>
        <w:rPr>
          <w:rFonts w:hint="eastAsia" w:ascii="仿宋" w:hAnsi="仿宋" w:eastAsia="仿宋" w:cs="仿宋"/>
          <w:sz w:val="32"/>
          <w:szCs w:val="32"/>
        </w:rPr>
        <w:t>本级造林绿化工程投入加大</w:t>
      </w:r>
      <w:r>
        <w:rPr>
          <w:rFonts w:hint="eastAsia" w:ascii="仿宋_GB2312" w:eastAsia="仿宋_GB2312" w:cs="DengXian-Regular"/>
          <w:sz w:val="32"/>
          <w:szCs w:val="32"/>
        </w:rPr>
        <w:t>。</w:t>
      </w:r>
    </w:p>
    <w:tbl>
      <w:tblPr>
        <w:tblStyle w:val="7"/>
        <w:tblW w:w="9911" w:type="dxa"/>
        <w:tblInd w:w="0" w:type="dxa"/>
        <w:tblLayout w:type="fixed"/>
        <w:tblCellMar>
          <w:top w:w="15" w:type="dxa"/>
          <w:left w:w="15" w:type="dxa"/>
          <w:bottom w:w="15" w:type="dxa"/>
          <w:right w:w="15" w:type="dxa"/>
        </w:tblCellMar>
      </w:tblPr>
      <w:tblGrid>
        <w:gridCol w:w="1037"/>
        <w:gridCol w:w="1037"/>
        <w:gridCol w:w="1038"/>
        <w:gridCol w:w="1039"/>
        <w:gridCol w:w="1038"/>
        <w:gridCol w:w="1039"/>
        <w:gridCol w:w="1823"/>
        <w:gridCol w:w="1860"/>
      </w:tblGrid>
      <w:tr>
        <w:tblPrEx>
          <w:tblCellMar>
            <w:top w:w="15" w:type="dxa"/>
            <w:left w:w="15" w:type="dxa"/>
            <w:bottom w:w="15" w:type="dxa"/>
            <w:right w:w="15" w:type="dxa"/>
          </w:tblCellMar>
        </w:tblPrEx>
        <w:trPr>
          <w:trHeight w:val="375" w:hRule="atLeast"/>
        </w:trPr>
        <w:tc>
          <w:tcPr>
            <w:tcW w:w="1037" w:type="dxa"/>
          </w:tcPr>
          <w:p>
            <w:pPr>
              <w:widowControl/>
              <w:jc w:val="center"/>
              <w:textAlignment w:val="center"/>
              <w:rPr>
                <w:rFonts w:ascii="仿宋_GB2312" w:hAnsi="宋体" w:eastAsia="仿宋_GB2312" w:cs="仿宋_GB2312"/>
                <w:color w:val="000000"/>
                <w:kern w:val="0"/>
                <w:sz w:val="28"/>
                <w:szCs w:val="28"/>
              </w:rPr>
            </w:pPr>
          </w:p>
        </w:tc>
        <w:tc>
          <w:tcPr>
            <w:tcW w:w="8874" w:type="dxa"/>
            <w:gridSpan w:val="7"/>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表3：2017-2018年财政拨款收支情况</w:t>
            </w:r>
          </w:p>
        </w:tc>
      </w:tr>
      <w:tr>
        <w:tblPrEx>
          <w:tblCellMar>
            <w:top w:w="15" w:type="dxa"/>
            <w:left w:w="15" w:type="dxa"/>
            <w:bottom w:w="15" w:type="dxa"/>
            <w:right w:w="15" w:type="dxa"/>
          </w:tblCellMar>
        </w:tblPrEx>
        <w:trPr>
          <w:gridAfter w:val="1"/>
          <w:wAfter w:w="1860" w:type="dxa"/>
          <w:trHeight w:val="564" w:hRule="atLeast"/>
        </w:trPr>
        <w:tc>
          <w:tcPr>
            <w:tcW w:w="1037" w:type="dxa"/>
            <w:vMerge w:val="restart"/>
            <w:tcBorders>
              <w:top w:val="single" w:color="000000" w:sz="4" w:space="0"/>
              <w:left w:val="single" w:color="000000" w:sz="4" w:space="0"/>
              <w:right w:val="single" w:color="000000" w:sz="4" w:space="0"/>
            </w:tcBorders>
          </w:tcPr>
          <w:p>
            <w:pPr>
              <w:jc w:val="center"/>
              <w:textAlignment w:val="center"/>
              <w:rPr>
                <w:rFonts w:ascii="宋体" w:hAnsi="宋体" w:cs="宋体"/>
                <w:color w:val="000000"/>
                <w:kern w:val="0"/>
                <w:sz w:val="20"/>
              </w:rPr>
            </w:pPr>
            <w:r>
              <w:rPr>
                <w:rFonts w:hint="eastAsia" w:ascii="宋体" w:hAnsi="宋体" w:cs="宋体"/>
                <w:color w:val="000000"/>
                <w:kern w:val="0"/>
                <w:sz w:val="20"/>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财政拨款支出</w:t>
            </w:r>
          </w:p>
        </w:tc>
      </w:tr>
      <w:tr>
        <w:tblPrEx>
          <w:tblCellMar>
            <w:top w:w="15" w:type="dxa"/>
            <w:left w:w="15" w:type="dxa"/>
            <w:bottom w:w="15" w:type="dxa"/>
            <w:right w:w="15" w:type="dxa"/>
          </w:tblCellMar>
        </w:tblPrEx>
        <w:trPr>
          <w:gridAfter w:val="1"/>
          <w:wAfter w:w="1860" w:type="dxa"/>
          <w:trHeight w:val="1392" w:hRule="atLeast"/>
        </w:trPr>
        <w:tc>
          <w:tcPr>
            <w:tcW w:w="1037"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0"/>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政府性基金预算财政拨款支出</w:t>
            </w:r>
          </w:p>
        </w:tc>
      </w:tr>
      <w:tr>
        <w:tblPrEx>
          <w:tblCellMar>
            <w:top w:w="15" w:type="dxa"/>
            <w:left w:w="15" w:type="dxa"/>
            <w:bottom w:w="15" w:type="dxa"/>
            <w:right w:w="15" w:type="dxa"/>
          </w:tblCellMar>
        </w:tblPrEx>
        <w:trPr>
          <w:gridAfter w:val="1"/>
          <w:wAfter w:w="1860" w:type="dxa"/>
          <w:trHeight w:val="286" w:hRule="atLeast"/>
        </w:trPr>
        <w:tc>
          <w:tcPr>
            <w:tcW w:w="1037"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kern w:val="0"/>
                <w:sz w:val="20"/>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3547.34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2047.34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2279.92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779.92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1500</w:t>
            </w:r>
          </w:p>
        </w:tc>
      </w:tr>
      <w:tr>
        <w:tblPrEx>
          <w:tblCellMar>
            <w:top w:w="15" w:type="dxa"/>
            <w:left w:w="15" w:type="dxa"/>
            <w:bottom w:w="15" w:type="dxa"/>
            <w:right w:w="15" w:type="dxa"/>
          </w:tblCellMar>
        </w:tblPrEx>
        <w:trPr>
          <w:gridAfter w:val="1"/>
          <w:wAfter w:w="1860" w:type="dxa"/>
          <w:trHeight w:val="286" w:hRule="atLeast"/>
        </w:trPr>
        <w:tc>
          <w:tcPr>
            <w:tcW w:w="1037"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kern w:val="0"/>
                <w:sz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4138.61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2076.54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2062.07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3693.76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1631.69</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2062.07</w:t>
            </w:r>
          </w:p>
        </w:tc>
      </w:tr>
      <w:tr>
        <w:tblPrEx>
          <w:tblCellMar>
            <w:top w:w="15" w:type="dxa"/>
            <w:left w:w="15" w:type="dxa"/>
            <w:bottom w:w="15" w:type="dxa"/>
            <w:right w:w="15" w:type="dxa"/>
          </w:tblCellMar>
        </w:tblPrEx>
        <w:trPr>
          <w:gridAfter w:val="1"/>
          <w:wAfter w:w="1860" w:type="dxa"/>
          <w:trHeight w:val="286" w:hRule="atLeast"/>
        </w:trPr>
        <w:tc>
          <w:tcPr>
            <w:tcW w:w="1037"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kern w:val="0"/>
                <w:sz w:val="20"/>
              </w:rPr>
            </w:pPr>
            <w:r>
              <w:rPr>
                <w:rFonts w:hint="eastAsia" w:ascii="宋体" w:hAnsi="宋体" w:cs="宋体"/>
                <w:color w:val="000000"/>
                <w:kern w:val="0"/>
                <w:sz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16.67</w:t>
            </w:r>
            <w:r>
              <w:rPr>
                <w:rFonts w:hint="eastAsia" w:ascii="宋体" w:hAnsi="宋体" w:cs="宋体"/>
                <w:color w:val="000000"/>
                <w:kern w:val="0"/>
                <w:sz w:val="20"/>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1.43</w:t>
            </w:r>
            <w:r>
              <w:rPr>
                <w:rFonts w:hint="eastAsia" w:ascii="宋体" w:hAnsi="宋体" w:cs="宋体"/>
                <w:color w:val="000000"/>
                <w:kern w:val="0"/>
                <w:sz w:val="20"/>
              </w:rPr>
              <w:t>%</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37.47</w:t>
            </w:r>
            <w:r>
              <w:rPr>
                <w:rFonts w:hint="eastAsia" w:ascii="宋体" w:hAnsi="宋体" w:cs="宋体"/>
                <w:color w:val="000000"/>
                <w:kern w:val="0"/>
                <w:sz w:val="20"/>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62.01</w:t>
            </w:r>
            <w:r>
              <w:rPr>
                <w:rFonts w:hint="eastAsia" w:ascii="宋体" w:hAnsi="宋体" w:cs="宋体"/>
                <w:color w:val="000000"/>
                <w:kern w:val="0"/>
                <w:sz w:val="20"/>
              </w:rPr>
              <w:t>%</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109.21</w:t>
            </w:r>
            <w:r>
              <w:rPr>
                <w:rFonts w:hint="eastAsia" w:ascii="宋体" w:hAnsi="宋体" w:cs="宋体"/>
                <w:color w:val="000000"/>
                <w:kern w:val="0"/>
                <w:sz w:val="20"/>
              </w:rPr>
              <w:t>%</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37.47</w:t>
            </w:r>
            <w:r>
              <w:rPr>
                <w:rFonts w:hint="eastAsia" w:ascii="宋体" w:hAnsi="宋体" w:cs="宋体"/>
                <w:color w:val="000000"/>
                <w:kern w:val="0"/>
                <w:sz w:val="20"/>
              </w:rPr>
              <w:t>%</w:t>
            </w:r>
          </w:p>
        </w:tc>
      </w:tr>
    </w:tbl>
    <w:p>
      <w:pPr>
        <w:snapToGrid w:val="0"/>
        <w:spacing w:line="560" w:lineRule="exact"/>
        <w:ind w:firstLine="640" w:firstLineChars="200"/>
        <w:rPr>
          <w:rFonts w:ascii="仿宋" w:hAnsi="仿宋" w:eastAsia="仿宋" w:cs="仿宋"/>
          <w:sz w:val="32"/>
        </w:rPr>
      </w:pPr>
    </w:p>
    <w:p>
      <w:pPr>
        <w:snapToGrid w:val="0"/>
        <w:spacing w:line="560" w:lineRule="exact"/>
        <w:ind w:firstLine="640" w:firstLineChars="200"/>
        <w:rPr>
          <w:rFonts w:ascii="仿宋" w:hAnsi="仿宋" w:eastAsia="仿宋" w:cs="仿宋"/>
          <w:sz w:val="32"/>
        </w:rPr>
      </w:pPr>
    </w:p>
    <w:p>
      <w:pPr>
        <w:widowControl/>
        <w:spacing w:line="560" w:lineRule="exact"/>
        <w:ind w:firstLine="643" w:firstLineChars="200"/>
        <w:rPr>
          <w:rFonts w:ascii="仿宋" w:hAnsi="仿宋" w:eastAsia="仿宋" w:cs="仿宋"/>
          <w:b/>
          <w:bCs/>
          <w:sz w:val="32"/>
        </w:rPr>
      </w:pPr>
      <w:r>
        <w:rPr>
          <w:rFonts w:hint="eastAsia" w:ascii="仿宋" w:hAnsi="仿宋" w:eastAsia="仿宋" w:cs="仿宋"/>
          <w:b/>
          <w:bCs/>
          <w:sz w:val="32"/>
        </w:rPr>
        <w:t>（二）财政拨款收支与年初预算数对比情况</w:t>
      </w:r>
    </w:p>
    <w:p>
      <w:pPr>
        <w:snapToGrid w:val="0"/>
        <w:spacing w:line="560" w:lineRule="exact"/>
        <w:ind w:firstLine="640" w:firstLineChars="200"/>
        <w:rPr>
          <w:rFonts w:ascii="仿宋" w:hAnsi="仿宋" w:eastAsia="仿宋" w:cs="仿宋"/>
          <w:sz w:val="32"/>
        </w:rPr>
      </w:pPr>
      <w:r>
        <w:rPr>
          <w:rFonts w:hint="eastAsia" w:ascii="仿宋" w:hAnsi="仿宋" w:eastAsia="仿宋" w:cs="仿宋"/>
          <w:sz w:val="32"/>
          <w:szCs w:val="32"/>
        </w:rPr>
        <w:t>本部门2018年财政拨款收入决算总计4138.61万元，较年初预算减少176.45万元，</w:t>
      </w:r>
      <w:r>
        <w:rPr>
          <w:rFonts w:hint="eastAsia" w:ascii="仿宋" w:hAnsi="仿宋" w:eastAsia="仿宋" w:cs="仿宋"/>
          <w:sz w:val="32"/>
        </w:rPr>
        <w:t>下降4.09%，主要原因是</w:t>
      </w:r>
      <w:r>
        <w:rPr>
          <w:rFonts w:hint="eastAsia" w:ascii="仿宋" w:hAnsi="仿宋" w:eastAsia="仿宋" w:cs="仿宋"/>
          <w:sz w:val="32"/>
          <w:szCs w:val="32"/>
        </w:rPr>
        <w:t>年初造林绿化预算中秋季部分林地奖补结转下年，相关项目验收费交回财政</w:t>
      </w:r>
      <w:r>
        <w:rPr>
          <w:rFonts w:hint="eastAsia" w:ascii="仿宋" w:hAnsi="仿宋" w:eastAsia="仿宋" w:cs="仿宋"/>
          <w:sz w:val="32"/>
        </w:rPr>
        <w:t>。</w:t>
      </w:r>
      <w:r>
        <w:rPr>
          <w:rFonts w:hint="eastAsia" w:ascii="仿宋" w:hAnsi="仿宋" w:eastAsia="仿宋" w:cs="仿宋"/>
          <w:sz w:val="32"/>
          <w:szCs w:val="32"/>
        </w:rPr>
        <w:t>其中，一般公共预算拨款减少138.52万元，政府性基金预算财政拨款减少37.93万元。2018年财政拨款支出决算总计5194.28万元，较年初预算增加879.22万元，</w:t>
      </w:r>
      <w:r>
        <w:rPr>
          <w:rFonts w:hint="eastAsia" w:ascii="仿宋" w:hAnsi="仿宋" w:eastAsia="仿宋" w:cs="仿宋"/>
          <w:sz w:val="32"/>
        </w:rPr>
        <w:t>增长20.38%，主要原因是</w:t>
      </w:r>
      <w:r>
        <w:rPr>
          <w:rFonts w:hint="eastAsia" w:ascii="仿宋" w:hAnsi="仿宋" w:eastAsia="仿宋" w:cs="仿宋"/>
          <w:sz w:val="32"/>
          <w:szCs w:val="32"/>
        </w:rPr>
        <w:t>2018年度造林奖补结转资金支出</w:t>
      </w:r>
      <w:r>
        <w:rPr>
          <w:rFonts w:hint="eastAsia" w:ascii="仿宋" w:hAnsi="仿宋" w:eastAsia="仿宋" w:cs="仿宋"/>
          <w:sz w:val="32"/>
        </w:rPr>
        <w:t>。</w:t>
      </w:r>
      <w:r>
        <w:rPr>
          <w:rFonts w:hint="eastAsia" w:ascii="仿宋" w:hAnsi="仿宋" w:eastAsia="仿宋" w:cs="仿宋"/>
          <w:sz w:val="32"/>
          <w:szCs w:val="32"/>
        </w:rPr>
        <w:t>其中基本支出增加42.03万元，项目支出增加837.19万元</w:t>
      </w:r>
      <w:r>
        <w:rPr>
          <w:rFonts w:hint="eastAsia" w:ascii="仿宋" w:hAnsi="仿宋" w:eastAsia="仿宋" w:cs="仿宋"/>
          <w:sz w:val="32"/>
        </w:rPr>
        <w:t>。</w:t>
      </w:r>
    </w:p>
    <w:p>
      <w:pPr>
        <w:snapToGrid w:val="0"/>
        <w:spacing w:line="56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表4：财政拨款收支预决算对比情况</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8"/>
        <w:gridCol w:w="1234"/>
        <w:gridCol w:w="1336"/>
        <w:gridCol w:w="1336"/>
        <w:gridCol w:w="1234"/>
        <w:gridCol w:w="1336"/>
        <w:gridCol w:w="13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8" w:type="dxa"/>
            <w:vMerge w:val="restart"/>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w:t>
            </w:r>
          </w:p>
        </w:tc>
        <w:tc>
          <w:tcPr>
            <w:tcW w:w="3906" w:type="dxa"/>
            <w:gridSpan w:val="3"/>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财政拨款收入</w:t>
            </w:r>
          </w:p>
        </w:tc>
        <w:tc>
          <w:tcPr>
            <w:tcW w:w="3906" w:type="dxa"/>
            <w:gridSpan w:val="3"/>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财政拨款支出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8" w:type="dxa"/>
            <w:vMerge w:val="continue"/>
            <w:vAlign w:val="center"/>
          </w:tcPr>
          <w:p>
            <w:pPr>
              <w:snapToGrid w:val="0"/>
              <w:spacing w:line="560" w:lineRule="exact"/>
              <w:rPr>
                <w:rFonts w:ascii="仿宋" w:hAnsi="仿宋" w:eastAsia="仿宋" w:cs="仿宋"/>
                <w:sz w:val="32"/>
              </w:rPr>
            </w:pPr>
          </w:p>
        </w:tc>
        <w:tc>
          <w:tcPr>
            <w:tcW w:w="1234"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小计</w:t>
            </w:r>
          </w:p>
        </w:tc>
        <w:tc>
          <w:tcPr>
            <w:tcW w:w="1336"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一般公共预算财政拨款收入</w:t>
            </w:r>
          </w:p>
        </w:tc>
        <w:tc>
          <w:tcPr>
            <w:tcW w:w="1336"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政府性基金预算财政拨款收入</w:t>
            </w:r>
          </w:p>
        </w:tc>
        <w:tc>
          <w:tcPr>
            <w:tcW w:w="1234"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小计</w:t>
            </w:r>
          </w:p>
        </w:tc>
        <w:tc>
          <w:tcPr>
            <w:tcW w:w="1336"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一般公共预算财政拨款支出</w:t>
            </w:r>
          </w:p>
        </w:tc>
        <w:tc>
          <w:tcPr>
            <w:tcW w:w="1336"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政府性基金预算财政拨款支出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48"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年初预算数（万元）</w:t>
            </w:r>
          </w:p>
        </w:tc>
        <w:tc>
          <w:tcPr>
            <w:tcW w:w="1234"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4315.06</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2215.06</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2100</w:t>
            </w:r>
          </w:p>
        </w:tc>
        <w:tc>
          <w:tcPr>
            <w:tcW w:w="1234"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4315.06</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2215.06</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8" w:type="dxa"/>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决算数（万元）</w:t>
            </w:r>
          </w:p>
        </w:tc>
        <w:tc>
          <w:tcPr>
            <w:tcW w:w="1234" w:type="dxa"/>
          </w:tcPr>
          <w:p>
            <w:pPr>
              <w:snapToGrid w:val="0"/>
              <w:spacing w:line="560" w:lineRule="exact"/>
              <w:rPr>
                <w:rFonts w:ascii="仿宋" w:hAnsi="仿宋" w:eastAsia="仿宋" w:cs="仿宋"/>
                <w:sz w:val="24"/>
                <w:szCs w:val="24"/>
              </w:rPr>
            </w:pPr>
            <w:r>
              <w:rPr>
                <w:rFonts w:hint="eastAsia" w:ascii="仿宋" w:hAnsi="仿宋" w:eastAsia="仿宋" w:cs="仿宋"/>
                <w:sz w:val="24"/>
                <w:szCs w:val="24"/>
              </w:rPr>
              <w:t>4318.61</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2076.54</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2062.07</w:t>
            </w:r>
          </w:p>
        </w:tc>
        <w:tc>
          <w:tcPr>
            <w:tcW w:w="1234"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3693.76</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1631.69</w:t>
            </w:r>
          </w:p>
        </w:tc>
        <w:tc>
          <w:tcPr>
            <w:tcW w:w="1336" w:type="dxa"/>
          </w:tcPr>
          <w:p>
            <w:pPr>
              <w:snapToGrid w:val="0"/>
              <w:spacing w:line="560" w:lineRule="exact"/>
              <w:jc w:val="center"/>
              <w:rPr>
                <w:rFonts w:ascii="仿宋" w:hAnsi="仿宋" w:eastAsia="仿宋" w:cs="仿宋"/>
                <w:sz w:val="24"/>
                <w:szCs w:val="24"/>
              </w:rPr>
            </w:pPr>
            <w:r>
              <w:rPr>
                <w:rFonts w:hint="eastAsia" w:ascii="仿宋" w:hAnsi="仿宋" w:eastAsia="仿宋" w:cs="仿宋"/>
                <w:sz w:val="24"/>
                <w:szCs w:val="24"/>
              </w:rPr>
              <w:t>2062.07</w:t>
            </w:r>
          </w:p>
        </w:tc>
      </w:tr>
    </w:tbl>
    <w:p>
      <w:pPr>
        <w:snapToGrid w:val="0"/>
        <w:spacing w:line="560" w:lineRule="exact"/>
        <w:ind w:firstLine="640" w:firstLineChars="200"/>
        <w:rPr>
          <w:rFonts w:ascii="仿宋" w:hAnsi="仿宋" w:eastAsia="仿宋" w:cs="仿宋"/>
          <w:sz w:val="32"/>
        </w:rPr>
      </w:pP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年度财政拨款支出5194.28万元，主要用于以下方面农林水支出5194.28万元，占100%。</w:t>
      </w:r>
    </w:p>
    <w:p>
      <w:pPr>
        <w:adjustRightInd w:val="0"/>
        <w:snapToGrid w:val="0"/>
        <w:spacing w:line="580" w:lineRule="exact"/>
        <w:ind w:firstLine="640" w:firstLineChars="200"/>
        <w:rPr>
          <w:rFonts w:ascii="仿宋_GB2312" w:eastAsia="仿宋_GB2312" w:cs="DengXian-Regular"/>
          <w:color w:val="FF0000"/>
          <w:sz w:val="32"/>
          <w:szCs w:val="32"/>
        </w:rPr>
      </w:pPr>
    </w:p>
    <w:tbl>
      <w:tblPr>
        <w:tblStyle w:val="7"/>
        <w:tblW w:w="8874" w:type="dxa"/>
        <w:tblInd w:w="0" w:type="dxa"/>
        <w:tblLayout w:type="fixed"/>
        <w:tblCellMar>
          <w:top w:w="15" w:type="dxa"/>
          <w:left w:w="15" w:type="dxa"/>
          <w:bottom w:w="15" w:type="dxa"/>
          <w:right w:w="15" w:type="dxa"/>
        </w:tblCellMar>
      </w:tblPr>
      <w:tblGrid>
        <w:gridCol w:w="2021"/>
        <w:gridCol w:w="1615"/>
        <w:gridCol w:w="1615"/>
        <w:gridCol w:w="1615"/>
        <w:gridCol w:w="2008"/>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szCs w:val="24"/>
              </w:rPr>
              <w:t>表5：财政拨款支出决算结构（按功能分类）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城乡社区支出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农林水支出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国土海洋气象等支出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××支出</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szCs w:val="24"/>
              </w:rPr>
              <w:t>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szCs w:val="24"/>
              </w:rPr>
              <w:t>5194.28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szCs w:val="24"/>
              </w:rPr>
              <w:t>0</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szCs w:val="24"/>
              </w:rPr>
              <w:t>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szCs w:val="24"/>
              </w:rPr>
              <w:t>100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szCs w:val="24"/>
              </w:rPr>
              <w:t>0</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p>
        </w:tc>
      </w:tr>
    </w:tbl>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545.89万元，其中：人员经费510.3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35.59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snapToGrid w:val="0"/>
        <w:spacing w:line="560" w:lineRule="exact"/>
        <w:ind w:firstLine="640" w:firstLineChars="200"/>
        <w:rPr>
          <w:rFonts w:ascii="仿宋_GB2312" w:hAnsi="仿宋" w:eastAsia="仿宋_GB2312"/>
          <w:sz w:val="32"/>
          <w:szCs w:val="32"/>
        </w:rPr>
      </w:pPr>
      <w:r>
        <w:rPr>
          <w:rFonts w:hint="eastAsia" w:ascii="楷体" w:hAnsi="楷体" w:eastAsia="楷体" w:cs="楷体"/>
          <w:sz w:val="32"/>
          <w:szCs w:val="32"/>
        </w:rPr>
        <w:t>本部门</w:t>
      </w:r>
      <w:r>
        <w:rPr>
          <w:rFonts w:hint="eastAsia" w:ascii="仿宋_GB2312" w:hAnsi="仿宋" w:eastAsia="仿宋_GB2312"/>
          <w:sz w:val="32"/>
          <w:szCs w:val="32"/>
        </w:rPr>
        <w:t>2018年度一般公共预算财政拨款“三公”经费支出5万元，</w:t>
      </w:r>
      <w:r>
        <w:rPr>
          <w:rFonts w:hint="eastAsia" w:ascii="仿宋_GB2312" w:hAnsi="仿宋" w:eastAsia="仿宋_GB2312"/>
          <w:sz w:val="32"/>
          <w:szCs w:val="32"/>
          <w:lang w:eastAsia="zh-CN"/>
        </w:rPr>
        <w:t>与预算持平</w:t>
      </w:r>
      <w:bookmarkStart w:id="0" w:name="_GoBack"/>
      <w:bookmarkEnd w:id="0"/>
      <w:r>
        <w:rPr>
          <w:rFonts w:hint="eastAsia" w:ascii="仿宋_GB2312" w:hAnsi="仿宋" w:eastAsia="仿宋_GB2312"/>
          <w:sz w:val="32"/>
          <w:szCs w:val="32"/>
        </w:rPr>
        <w:t>，比2017年度决算减少7.1万元，降低142%。主要是厉行节约。具体情况如下:</w:t>
      </w:r>
    </w:p>
    <w:p>
      <w:pPr>
        <w:adjustRightInd w:val="0"/>
        <w:snapToGrid w:val="0"/>
        <w:spacing w:line="584" w:lineRule="exact"/>
        <w:ind w:firstLine="630" w:firstLineChars="196"/>
        <w:rPr>
          <w:rFonts w:eastAsia="仿宋_GB2312"/>
          <w:sz w:val="32"/>
          <w:szCs w:val="32"/>
        </w:rPr>
      </w:pPr>
      <w:r>
        <w:rPr>
          <w:rFonts w:hint="eastAsia" w:eastAsia="楷体_GB2312"/>
          <w:b/>
          <w:bCs/>
          <w:sz w:val="32"/>
          <w:szCs w:val="32"/>
        </w:rPr>
        <w:t>（一）</w:t>
      </w: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5</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增加</w:t>
      </w:r>
      <w:r>
        <w:rPr>
          <w:rFonts w:hint="eastAsia" w:eastAsia="仿宋_GB2312"/>
          <w:sz w:val="32"/>
          <w:szCs w:val="32"/>
        </w:rPr>
        <w:t>0</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w:t>
      </w:r>
      <w:r>
        <w:rPr>
          <w:rFonts w:hint="eastAsia" w:eastAsia="仿宋_GB2312"/>
          <w:sz w:val="32"/>
          <w:szCs w:val="32"/>
        </w:rPr>
        <w:t>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5</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无增减变化</w:t>
      </w:r>
      <w:r>
        <w:rPr>
          <w:rFonts w:eastAsia="仿宋_GB2312"/>
          <w:sz w:val="32"/>
          <w:szCs w:val="32"/>
        </w:rPr>
        <w:t>。</w:t>
      </w:r>
    </w:p>
    <w:p>
      <w:pPr>
        <w:pStyle w:val="2"/>
        <w:spacing w:before="0" w:after="0" w:line="580" w:lineRule="exact"/>
        <w:ind w:firstLine="640" w:firstLineChars="200"/>
        <w:rPr>
          <w:rFonts w:ascii="黑体" w:eastAsia="黑体"/>
          <w:b w:val="0"/>
          <w:bCs w:val="0"/>
        </w:rPr>
      </w:pPr>
      <w:r>
        <w:rPr>
          <w:rFonts w:hint="eastAsia" w:ascii="黑体" w:eastAsia="黑体"/>
          <w:b w:val="0"/>
          <w:bCs w:val="0"/>
        </w:rPr>
        <w:t>六、预算绩效情况说明</w:t>
      </w:r>
    </w:p>
    <w:p>
      <w:pPr>
        <w:snapToGrid w:val="0"/>
        <w:spacing w:line="560" w:lineRule="exact"/>
        <w:ind w:firstLine="472" w:firstLineChars="147"/>
        <w:rPr>
          <w:rFonts w:ascii="楷体" w:hAnsi="楷体" w:eastAsia="楷体" w:cs="楷体"/>
          <w:b/>
          <w:bCs/>
          <w:sz w:val="32"/>
          <w:szCs w:val="32"/>
        </w:rPr>
      </w:pPr>
      <w:r>
        <w:rPr>
          <w:rFonts w:hint="eastAsia" w:ascii="楷体" w:hAnsi="楷体" w:eastAsia="楷体" w:cs="楷体"/>
          <w:b/>
          <w:bCs/>
          <w:sz w:val="32"/>
          <w:szCs w:val="32"/>
        </w:rPr>
        <w:t>（一）预算绩效管理工作开展情况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局预算绩效管理工作在市财政部门指导下，进一步扩大预算绩效管理范围，将造林绿化奖补工程、病虫害防治工程等重点项目进行预算监测、绩效管理。其中，造林绿化项目2018年共计支出3562.6万元、病虫害防治工程30.9万元（含省级病虫害防治资金）。本级财政部门将我局本级病虫害防治项目作为重点监测项目、将2017年片林奖补工程作为重点绩效管理项目。</w:t>
      </w:r>
    </w:p>
    <w:p>
      <w:pPr>
        <w:spacing w:line="580" w:lineRule="atLeast"/>
        <w:ind w:firstLine="643" w:firstLineChars="200"/>
        <w:rPr>
          <w:rFonts w:ascii="仿宋_GB2312" w:eastAsia="仿宋_GB2312" w:cs="DengXian-Regular"/>
          <w:b/>
          <w:bCs/>
          <w:sz w:val="32"/>
          <w:szCs w:val="32"/>
        </w:rPr>
      </w:pPr>
      <w:r>
        <w:rPr>
          <w:rFonts w:hint="eastAsia" w:ascii="仿宋_GB2312" w:eastAsia="仿宋_GB2312" w:cs="DengXian-Regular"/>
          <w:b/>
          <w:bCs/>
          <w:sz w:val="32"/>
          <w:szCs w:val="32"/>
        </w:rPr>
        <w:t>（二）项目绩效自评结果</w:t>
      </w:r>
    </w:p>
    <w:p>
      <w:pPr>
        <w:snapToGrid w:val="0"/>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反映本部门当年绩效管理工作开展情况，我单位绩效自评情况较好。</w:t>
      </w:r>
      <w:r>
        <w:rPr>
          <w:rFonts w:hint="eastAsia" w:eastAsia="仿宋_GB2312"/>
          <w:color w:val="000000"/>
          <w:sz w:val="32"/>
          <w:szCs w:val="32"/>
        </w:rPr>
        <w:t>2018年我局收到市财政安排的本级基金资金2062.7万元，用于全市造林绿化奖补工程资金投入，共计3.4万余亩（含：112国道两侧绿化带、15-17年度廊道两侧绿化、16-17年度片林奖补及村庄绿化奖补等），并聘请有资质的第三方验收公司，对造林绿化成果进行验收。</w:t>
      </w:r>
      <w:r>
        <w:rPr>
          <w:rFonts w:hint="eastAsia" w:ascii="仿宋" w:hAnsi="仿宋" w:eastAsia="仿宋" w:cs="仿宋"/>
          <w:sz w:val="32"/>
          <w:szCs w:val="32"/>
        </w:rPr>
        <w:t>按照新预算法要求，我部门将项目绩效评价工作融入到整个项目执行过程中，牢固树立“讲绩效、重绩效、用绩效”的绩效评价管理理念，以绩效为向导，积极构建预算编制有目标、预算执行有监控、预算完成有评价、预算结果有应用的全过程预算绩效管理体制。</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（三）重点项目绩效评价结果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管理机制不断完善。加强了绩效评价管理与财政资金监管、财政监督检查工作的相互融合，绩效评价在预算分配、预算执行、结果应用的全过程管理机制不断完善。出台了《霸州市财政局2018年财政项目资金重点绩效评价工作实施方案》（霸财【2018年】19号），建立了部门整体支出绩效评价指标体系，初步建立了较为完整的绩效评价指标体系。组织机构方面，建立了由预算股牵头，其他业务股室积极配合的工作机制，明确了各责任单位工作重点及承担的具体工作职责；规范了工作程序，明确了分阶段工作任务，强化了预算绩效在预算编制、执行中的全过程管理。绩效管理取得阶段性成果。按照以点带面、循序渐进的工作规律，逐步将绩效评价工作推向深入。2018年，我县首次较大范围开展重点监测、绩效评价工作，力争完善项目收支、查找节点漏洞，取得重大成效。绩效评价工作的开展，特别是绩效评价结果的应用，对预算分配产生了重大影响，有利于全面提高财政资金使用的效果。通过对试点项目实施过程以及运行情况的跟踪管理，财政部门能较全面掌握专项预算资金的具体使用情况，对资金投入、资金使用方向、项目实施产生的效益有了总体把握，在年度预算资金分配中掌握了主动权，预算绩效目标的申报与批复，也在一定程度上促进了预算编制的科学合理性。</w:t>
      </w:r>
    </w:p>
    <w:p>
      <w:pPr>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七、其他重要事项的说明</w:t>
      </w:r>
    </w:p>
    <w:p>
      <w:pPr>
        <w:widowControl/>
        <w:spacing w:line="560" w:lineRule="exact"/>
        <w:ind w:firstLine="643" w:firstLineChars="200"/>
        <w:rPr>
          <w:rFonts w:eastAsia="仿宋_GB2312"/>
          <w:b/>
          <w:bCs/>
          <w:sz w:val="32"/>
          <w:szCs w:val="32"/>
        </w:rPr>
      </w:pPr>
      <w:r>
        <w:rPr>
          <w:rFonts w:hint="eastAsia" w:eastAsia="仿宋_GB2312"/>
          <w:b/>
          <w:bCs/>
          <w:sz w:val="32"/>
          <w:szCs w:val="32"/>
        </w:rPr>
        <w:t>（一）</w:t>
      </w:r>
      <w:r>
        <w:rPr>
          <w:rFonts w:eastAsia="仿宋_GB2312"/>
          <w:b/>
          <w:bCs/>
          <w:sz w:val="32"/>
          <w:szCs w:val="32"/>
        </w:rPr>
        <w:t>机关运行经费情况</w:t>
      </w:r>
    </w:p>
    <w:p>
      <w:pPr>
        <w:widowControl/>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本部门</w:t>
      </w:r>
      <w:r>
        <w:rPr>
          <w:rFonts w:hint="eastAsia" w:ascii="仿宋_GB2312" w:hAnsi="仿宋" w:eastAsia="仿宋_GB2312"/>
          <w:sz w:val="32"/>
          <w:szCs w:val="32"/>
        </w:rPr>
        <w:t>2018年度部门机关运行经费支出35.59万元，</w:t>
      </w:r>
      <w:r>
        <w:rPr>
          <w:rFonts w:hint="eastAsia" w:ascii="仿宋_GB2312" w:eastAsia="仿宋_GB2312" w:cs="DengXian-Regular"/>
          <w:sz w:val="32"/>
          <w:szCs w:val="32"/>
        </w:rPr>
        <w:t>比年初预算数增加2.63万元，增长7.9</w:t>
      </w:r>
      <w:r>
        <w:rPr>
          <w:rFonts w:eastAsia="仿宋_GB2312"/>
          <w:sz w:val="32"/>
          <w:szCs w:val="32"/>
        </w:rPr>
        <w:t>%</w:t>
      </w:r>
      <w:r>
        <w:rPr>
          <w:rFonts w:hint="eastAsia" w:eastAsia="仿宋_GB2312"/>
          <w:sz w:val="32"/>
          <w:szCs w:val="32"/>
        </w:rPr>
        <w:t>,</w:t>
      </w:r>
      <w:r>
        <w:rPr>
          <w:rFonts w:hint="eastAsia" w:ascii="仿宋_GB2312" w:hAnsi="仿宋" w:eastAsia="仿宋_GB2312"/>
          <w:sz w:val="32"/>
          <w:szCs w:val="32"/>
        </w:rPr>
        <w:t>比2017年度决算</w:t>
      </w:r>
      <w:r>
        <w:rPr>
          <w:rFonts w:ascii="仿宋_GB2312" w:hAnsi="仿宋" w:eastAsia="仿宋_GB2312"/>
          <w:sz w:val="32"/>
          <w:szCs w:val="32"/>
        </w:rPr>
        <w:t>增加</w:t>
      </w:r>
      <w:r>
        <w:rPr>
          <w:rFonts w:hint="eastAsia" w:ascii="仿宋_GB2312" w:hAnsi="仿宋" w:eastAsia="仿宋_GB2312"/>
          <w:sz w:val="32"/>
          <w:szCs w:val="32"/>
        </w:rPr>
        <w:t>10.29万元，</w:t>
      </w:r>
      <w:r>
        <w:rPr>
          <w:rFonts w:hint="eastAsia" w:ascii="仿宋" w:hAnsi="仿宋" w:eastAsia="仿宋" w:cs="仿宋"/>
          <w:sz w:val="32"/>
        </w:rPr>
        <w:t>增长40.67%。主要</w:t>
      </w:r>
      <w:r>
        <w:rPr>
          <w:rFonts w:hint="eastAsia" w:ascii="仿宋_GB2312" w:hAnsi="仿宋" w:eastAsia="仿宋_GB2312"/>
          <w:sz w:val="32"/>
          <w:szCs w:val="32"/>
        </w:rPr>
        <w:t>原因是造林绿化工作较往年增加几倍工作量，相应设备、耗材使用量增加。</w:t>
      </w:r>
    </w:p>
    <w:p>
      <w:pPr>
        <w:numPr>
          <w:ilvl w:val="0"/>
          <w:numId w:val="3"/>
        </w:numPr>
        <w:autoSpaceDE w:val="0"/>
        <w:autoSpaceDN w:val="0"/>
        <w:snapToGrid w:val="0"/>
        <w:spacing w:line="560" w:lineRule="exact"/>
        <w:ind w:firstLine="643" w:firstLineChars="200"/>
        <w:rPr>
          <w:rFonts w:eastAsia="仿宋_GB2312"/>
          <w:b/>
          <w:bCs/>
          <w:sz w:val="32"/>
          <w:szCs w:val="32"/>
        </w:rPr>
      </w:pPr>
      <w:r>
        <w:rPr>
          <w:rFonts w:eastAsia="仿宋_GB2312"/>
          <w:b/>
          <w:bCs/>
          <w:sz w:val="32"/>
          <w:szCs w:val="32"/>
        </w:rPr>
        <w:t>政府采购情况</w:t>
      </w:r>
    </w:p>
    <w:p>
      <w:pPr>
        <w:autoSpaceDE w:val="0"/>
        <w:autoSpaceDN w:val="0"/>
        <w:snapToGrid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eastAsia="仿宋_GB2312"/>
          <w:sz w:val="32"/>
          <w:szCs w:val="32"/>
        </w:rPr>
        <w:t>本部门</w:t>
      </w:r>
      <w:r>
        <w:rPr>
          <w:rFonts w:ascii="仿宋_GB2312" w:hAnsi="仿宋_GB2312" w:eastAsia="仿宋_GB2312" w:cs="仿宋_GB2312"/>
          <w:kern w:val="0"/>
          <w:sz w:val="32"/>
          <w:szCs w:val="32"/>
          <w:shd w:val="clear" w:color="auto" w:fill="FFFFFF"/>
        </w:rPr>
        <w:t>201</w:t>
      </w:r>
      <w:r>
        <w:rPr>
          <w:rFonts w:hint="eastAsia" w:ascii="仿宋_GB2312" w:hAnsi="仿宋_GB2312" w:eastAsia="仿宋_GB2312" w:cs="仿宋_GB2312"/>
          <w:kern w:val="0"/>
          <w:sz w:val="32"/>
          <w:szCs w:val="32"/>
          <w:shd w:val="clear" w:color="auto" w:fill="FFFFFF"/>
        </w:rPr>
        <w:t>8</w:t>
      </w:r>
      <w:r>
        <w:rPr>
          <w:rFonts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rPr>
        <w:t>度部门</w:t>
      </w:r>
      <w:r>
        <w:rPr>
          <w:rFonts w:ascii="仿宋_GB2312" w:hAnsi="仿宋_GB2312" w:eastAsia="仿宋_GB2312" w:cs="仿宋_GB2312"/>
          <w:kern w:val="0"/>
          <w:sz w:val="32"/>
          <w:szCs w:val="32"/>
          <w:shd w:val="clear" w:color="auto" w:fill="FFFFFF"/>
        </w:rPr>
        <w:t>政府采购</w:t>
      </w:r>
      <w:r>
        <w:rPr>
          <w:rFonts w:hint="eastAsia" w:ascii="仿宋_GB2312" w:hAnsi="仿宋_GB2312" w:eastAsia="仿宋_GB2312" w:cs="仿宋_GB2312"/>
          <w:kern w:val="0"/>
          <w:sz w:val="32"/>
          <w:szCs w:val="32"/>
          <w:shd w:val="clear" w:color="auto" w:fill="FFFFFF"/>
        </w:rPr>
        <w:t>支出</w:t>
      </w:r>
      <w:r>
        <w:rPr>
          <w:rFonts w:hint="eastAsia" w:ascii="仿宋_GB2312" w:hAnsi="仿宋" w:eastAsia="仿宋_GB2312"/>
          <w:sz w:val="32"/>
          <w:szCs w:val="32"/>
        </w:rPr>
        <w:t>94.23</w:t>
      </w:r>
      <w:r>
        <w:rPr>
          <w:rFonts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kern w:val="0"/>
          <w:sz w:val="32"/>
          <w:szCs w:val="32"/>
          <w:shd w:val="clear" w:color="auto" w:fill="FFFFFF"/>
        </w:rPr>
        <w:t>，其中：政府采购货物支出</w:t>
      </w:r>
      <w:r>
        <w:rPr>
          <w:rFonts w:hint="eastAsia" w:ascii="仿宋_GB2312" w:hAnsi="仿宋" w:eastAsia="仿宋_GB2312"/>
          <w:sz w:val="32"/>
          <w:szCs w:val="32"/>
        </w:rPr>
        <w:t>30.65</w:t>
      </w:r>
      <w:r>
        <w:rPr>
          <w:rFonts w:hint="eastAsia" w:ascii="仿宋_GB2312" w:hAnsi="仿宋_GB2312" w:eastAsia="仿宋_GB2312" w:cs="仿宋_GB2312"/>
          <w:kern w:val="0"/>
          <w:sz w:val="32"/>
          <w:szCs w:val="32"/>
          <w:shd w:val="clear" w:color="auto" w:fill="FFFFFF"/>
        </w:rPr>
        <w:t>万元，政府采购工程支出</w:t>
      </w:r>
      <w:r>
        <w:rPr>
          <w:rFonts w:hint="eastAsia" w:ascii="仿宋_GB2312" w:hAnsi="仿宋" w:eastAsia="仿宋_GB2312"/>
          <w:sz w:val="32"/>
          <w:szCs w:val="32"/>
        </w:rPr>
        <w:t>32.42</w:t>
      </w:r>
      <w:r>
        <w:rPr>
          <w:rFonts w:hint="eastAsia" w:ascii="仿宋_GB2312" w:hAnsi="仿宋_GB2312" w:eastAsia="仿宋_GB2312" w:cs="仿宋_GB2312"/>
          <w:kern w:val="0"/>
          <w:sz w:val="32"/>
          <w:szCs w:val="32"/>
          <w:shd w:val="clear" w:color="auto" w:fill="FFFFFF"/>
        </w:rPr>
        <w:t>万元，政府采购服务支出</w:t>
      </w:r>
      <w:r>
        <w:rPr>
          <w:rFonts w:hint="eastAsia" w:ascii="仿宋_GB2312" w:hAnsi="仿宋" w:eastAsia="仿宋_GB2312"/>
          <w:sz w:val="32"/>
          <w:szCs w:val="32"/>
        </w:rPr>
        <w:t>31.16</w:t>
      </w:r>
      <w:r>
        <w:rPr>
          <w:rFonts w:hint="eastAsia" w:ascii="仿宋_GB2312" w:hAnsi="仿宋_GB2312" w:eastAsia="仿宋_GB2312" w:cs="仿宋_GB2312"/>
          <w:kern w:val="0"/>
          <w:sz w:val="32"/>
          <w:szCs w:val="32"/>
          <w:shd w:val="clear" w:color="auto" w:fill="FFFFFF"/>
        </w:rPr>
        <w:t>万元。</w:t>
      </w:r>
      <w:r>
        <w:rPr>
          <w:rFonts w:ascii="仿宋_GB2312" w:hAnsi="宋体" w:eastAsia="仿宋_GB2312" w:cs="仿宋_GB2312"/>
          <w:color w:val="000000"/>
          <w:sz w:val="32"/>
          <w:szCs w:val="32"/>
          <w:shd w:val="clear" w:color="auto" w:fill="FFFFFF"/>
        </w:rPr>
        <w:t>授予中小企业合同金</w:t>
      </w:r>
      <w:r>
        <w:rPr>
          <w:rFonts w:hint="eastAsia" w:ascii="仿宋_GB2312" w:hAnsi="宋体" w:eastAsia="仿宋_GB2312" w:cs="仿宋_GB2312"/>
          <w:color w:val="000000"/>
          <w:sz w:val="32"/>
          <w:szCs w:val="32"/>
          <w:shd w:val="clear" w:color="auto" w:fill="FFFFFF"/>
        </w:rPr>
        <w:t>94.23万元，占政府采购支出总额的100%，其中授予小微企业合同金额94.23万元，占政府采购支出总额的100%。</w:t>
      </w:r>
    </w:p>
    <w:p>
      <w:pPr>
        <w:widowControl/>
        <w:numPr>
          <w:ilvl w:val="0"/>
          <w:numId w:val="3"/>
        </w:numPr>
        <w:spacing w:line="560" w:lineRule="exact"/>
        <w:ind w:firstLine="643" w:firstLineChars="200"/>
        <w:rPr>
          <w:rFonts w:eastAsia="仿宋_GB2312"/>
          <w:b/>
          <w:bCs/>
          <w:sz w:val="32"/>
          <w:szCs w:val="32"/>
        </w:rPr>
      </w:pPr>
      <w:r>
        <w:rPr>
          <w:rFonts w:eastAsia="仿宋_GB2312"/>
          <w:b/>
          <w:bCs/>
          <w:sz w:val="32"/>
          <w:szCs w:val="32"/>
        </w:rPr>
        <w:t>国有资产占用情况</w:t>
      </w:r>
    </w:p>
    <w:p>
      <w:pPr>
        <w:widowControl/>
        <w:spacing w:line="560" w:lineRule="exact"/>
        <w:ind w:left="420" w:leftChars="200"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sz w:val="32"/>
        </w:rPr>
        <w:t>截至2018年12月31日，本部门共有车辆</w:t>
      </w:r>
      <w:r>
        <w:rPr>
          <w:rFonts w:hint="eastAsia" w:ascii="仿宋_GB2312" w:hAnsi="仿宋" w:eastAsia="仿宋_GB2312"/>
          <w:sz w:val="32"/>
          <w:szCs w:val="32"/>
        </w:rPr>
        <w:t>2</w:t>
      </w:r>
      <w:r>
        <w:rPr>
          <w:rFonts w:hint="eastAsia" w:ascii="仿宋_GB2312" w:hAnsi="仿宋_GB2312" w:eastAsia="仿宋_GB2312"/>
          <w:sz w:val="32"/>
        </w:rPr>
        <w:t>辆，较上年无增减变动。其中，一般公务用车</w:t>
      </w:r>
      <w:r>
        <w:rPr>
          <w:rFonts w:hint="eastAsia" w:ascii="仿宋_GB2312" w:hAnsi="仿宋" w:eastAsia="仿宋_GB2312"/>
          <w:sz w:val="32"/>
          <w:szCs w:val="32"/>
        </w:rPr>
        <w:t>1</w:t>
      </w:r>
      <w:r>
        <w:rPr>
          <w:rFonts w:hint="eastAsia" w:ascii="仿宋_GB2312" w:hAnsi="仿宋_GB2312" w:eastAsia="仿宋_GB2312"/>
          <w:sz w:val="32"/>
        </w:rPr>
        <w:t>辆,执法执勤用车1辆；单位价值50万元以上通用设备</w:t>
      </w:r>
      <w:r>
        <w:rPr>
          <w:rFonts w:hint="eastAsia" w:ascii="仿宋_GB2312" w:hAnsi="仿宋" w:eastAsia="仿宋_GB2312"/>
          <w:sz w:val="32"/>
          <w:szCs w:val="32"/>
        </w:rPr>
        <w:t>0</w:t>
      </w:r>
      <w:r>
        <w:rPr>
          <w:rFonts w:hint="eastAsia" w:ascii="仿宋_GB2312" w:hAnsi="仿宋_GB2312" w:eastAsia="仿宋_GB2312"/>
          <w:sz w:val="32"/>
        </w:rPr>
        <w:t>台（套），较上年无增减变动。单价100万元以上专用设备</w:t>
      </w:r>
      <w:r>
        <w:rPr>
          <w:rFonts w:hint="eastAsia" w:ascii="仿宋_GB2312" w:hAnsi="仿宋" w:eastAsia="仿宋_GB2312"/>
          <w:sz w:val="32"/>
          <w:szCs w:val="32"/>
        </w:rPr>
        <w:t>0</w:t>
      </w:r>
      <w:r>
        <w:rPr>
          <w:rFonts w:hint="eastAsia" w:ascii="仿宋_GB2312" w:hAnsi="仿宋_GB2312" w:eastAsia="仿宋_GB2312"/>
          <w:sz w:val="32"/>
        </w:rPr>
        <w:t>台（套），较上年无增减变动。</w:t>
      </w:r>
    </w:p>
    <w:p>
      <w:pPr>
        <w:widowControl/>
        <w:spacing w:line="560" w:lineRule="exact"/>
        <w:ind w:firstLine="643" w:firstLineChars="200"/>
        <w:rPr>
          <w:rFonts w:eastAsia="仿宋_GB2312"/>
          <w:b/>
          <w:bCs/>
          <w:sz w:val="32"/>
          <w:szCs w:val="32"/>
        </w:rPr>
      </w:pPr>
      <w:r>
        <w:rPr>
          <w:rFonts w:hint="eastAsia" w:eastAsia="仿宋_GB2312"/>
          <w:b/>
          <w:bCs/>
          <w:sz w:val="32"/>
          <w:szCs w:val="32"/>
        </w:rPr>
        <w:t>（四）</w:t>
      </w:r>
      <w:r>
        <w:rPr>
          <w:rFonts w:eastAsia="仿宋_GB2312"/>
          <w:b/>
          <w:bCs/>
          <w:sz w:val="32"/>
          <w:szCs w:val="32"/>
        </w:rPr>
        <w:t>其他需要说明的情况</w:t>
      </w:r>
    </w:p>
    <w:p>
      <w:pPr>
        <w:autoSpaceDE w:val="0"/>
        <w:autoSpaceDN w:val="0"/>
        <w:adjustRightInd w:val="0"/>
        <w:spacing w:line="56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由于决算公开表格中金额数值应当保留两位小数，公开数据为四舍五入计算结果，个别数据合计项与分项之和存在小数点后差额，特此说明。</w:t>
      </w:r>
    </w:p>
    <w:p>
      <w:pPr>
        <w:widowControl/>
        <w:spacing w:line="1200" w:lineRule="exact"/>
        <w:jc w:val="center"/>
        <w:rPr>
          <w:rFonts w:ascii="黑体" w:hAnsi="黑体" w:eastAsia="黑体" w:cs="黑体"/>
          <w:color w:val="000000"/>
          <w:sz w:val="96"/>
          <w:szCs w:val="96"/>
        </w:rPr>
      </w:pPr>
    </w:p>
    <w:p>
      <w:pPr>
        <w:widowControl/>
        <w:spacing w:line="1200" w:lineRule="exact"/>
        <w:jc w:val="center"/>
        <w:rPr>
          <w:rFonts w:ascii="黑体" w:hAnsi="黑体" w:eastAsia="黑体" w:cs="黑体"/>
          <w:color w:val="000000"/>
          <w:sz w:val="96"/>
          <w:szCs w:val="96"/>
        </w:rPr>
      </w:pPr>
    </w:p>
    <w:p>
      <w:pPr>
        <w:widowControl/>
        <w:spacing w:line="1200" w:lineRule="exact"/>
        <w:jc w:val="center"/>
        <w:rPr>
          <w:rFonts w:ascii="黑体" w:hAnsi="黑体" w:eastAsia="黑体" w:cs="黑体"/>
          <w:color w:val="000000"/>
          <w:sz w:val="96"/>
          <w:szCs w:val="96"/>
        </w:rPr>
      </w:pPr>
    </w:p>
    <w:p>
      <w:pPr>
        <w:widowControl/>
        <w:spacing w:line="1200" w:lineRule="exact"/>
        <w:jc w:val="center"/>
        <w:rPr>
          <w:rFonts w:ascii="黑体" w:hAnsi="黑体" w:eastAsia="黑体" w:cs="黑体"/>
          <w:color w:val="000000"/>
          <w:sz w:val="96"/>
          <w:szCs w:val="96"/>
        </w:rPr>
      </w:pPr>
    </w:p>
    <w:p>
      <w:pPr>
        <w:widowControl/>
        <w:spacing w:line="1200" w:lineRule="exact"/>
        <w:jc w:val="center"/>
        <w:rPr>
          <w:rFonts w:ascii="黑体" w:hAnsi="黑体" w:eastAsia="黑体" w:cs="黑体"/>
          <w:color w:val="000000"/>
          <w:sz w:val="96"/>
          <w:szCs w:val="96"/>
        </w:rPr>
      </w:pPr>
    </w:p>
    <w:p>
      <w:pPr>
        <w:widowControl/>
        <w:spacing w:line="1200" w:lineRule="exact"/>
        <w:jc w:val="center"/>
        <w:rPr>
          <w:rFonts w:ascii="黑体" w:hAnsi="黑体" w:eastAsia="黑体" w:cs="黑体"/>
          <w:color w:val="000000"/>
          <w:sz w:val="96"/>
          <w:szCs w:val="96"/>
        </w:rPr>
      </w:pPr>
      <w:r>
        <w:rPr>
          <w:rFonts w:hint="eastAsia" w:ascii="黑体" w:hAnsi="黑体" w:eastAsia="黑体" w:cs="黑体"/>
          <w:color w:val="000000"/>
          <w:sz w:val="96"/>
          <w:szCs w:val="96"/>
        </w:rPr>
        <w:t>第四部分</w:t>
      </w:r>
    </w:p>
    <w:p>
      <w:pPr>
        <w:widowControl/>
        <w:spacing w:line="1200" w:lineRule="exact"/>
        <w:jc w:val="center"/>
        <w:rPr>
          <w:color w:val="000000"/>
          <w:sz w:val="96"/>
          <w:szCs w:val="96"/>
        </w:rPr>
      </w:pPr>
      <w:r>
        <w:rPr>
          <w:rFonts w:hint="eastAsia" w:ascii="黑体" w:hAnsi="黑体" w:eastAsia="黑体" w:cs="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ind w:firstLine="640" w:firstLineChars="200"/>
        <w:rPr>
          <w:rFonts w:ascii="仿宋_GB2312" w:eastAsia="仿宋_GB2312" w:cs="ArialUnicodeMS"/>
          <w:kern w:val="0"/>
          <w:sz w:val="32"/>
          <w:szCs w:val="32"/>
        </w:rPr>
      </w:pPr>
    </w:p>
    <w:p>
      <w:pPr>
        <w:widowControl/>
        <w:spacing w:line="560" w:lineRule="exact"/>
        <w:rPr>
          <w:rFonts w:ascii="仿宋_GB2312" w:eastAsia="仿宋_GB2312" w:cs="ArialUnicodeMS"/>
          <w:kern w:val="0"/>
          <w:sz w:val="32"/>
          <w:szCs w:val="32"/>
        </w:rPr>
      </w:pPr>
    </w:p>
    <w:p>
      <w:pPr>
        <w:autoSpaceDE w:val="0"/>
        <w:autoSpaceDN w:val="0"/>
        <w:adjustRightInd w:val="0"/>
        <w:spacing w:line="560" w:lineRule="exact"/>
        <w:ind w:firstLine="640" w:firstLineChars="200"/>
        <w:rPr>
          <w:rFonts w:ascii="仿宋_GB2312" w:hAnsi="仿宋_GB2312" w:eastAsia="仿宋_GB2312"/>
          <w:sz w:val="32"/>
          <w:szCs w:val="22"/>
        </w:rPr>
      </w:pPr>
    </w:p>
    <w:sectPr>
      <w:headerReference r:id="rId3" w:type="default"/>
      <w:headerReference r:id="rId4" w:type="even"/>
      <w:footerReference r:id="rId5" w:type="even"/>
      <w:pgSz w:w="11906" w:h="16838"/>
      <w:pgMar w:top="1440" w:right="1701"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05A29"/>
    <w:multiLevelType w:val="singleLevel"/>
    <w:tmpl w:val="1BE05A29"/>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6E5825"/>
    <w:multiLevelType w:val="singleLevel"/>
    <w:tmpl w:val="5F6E5825"/>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72F"/>
    <w:rsid w:val="00052DDA"/>
    <w:rsid w:val="00073EF5"/>
    <w:rsid w:val="000835A3"/>
    <w:rsid w:val="000936E9"/>
    <w:rsid w:val="00094553"/>
    <w:rsid w:val="000C0981"/>
    <w:rsid w:val="000D5B3A"/>
    <w:rsid w:val="00107B88"/>
    <w:rsid w:val="0012040F"/>
    <w:rsid w:val="001414B3"/>
    <w:rsid w:val="001426DA"/>
    <w:rsid w:val="0016321F"/>
    <w:rsid w:val="00172A27"/>
    <w:rsid w:val="00190242"/>
    <w:rsid w:val="001F0F96"/>
    <w:rsid w:val="0020098A"/>
    <w:rsid w:val="002135FB"/>
    <w:rsid w:val="0023574A"/>
    <w:rsid w:val="00242A45"/>
    <w:rsid w:val="002625A8"/>
    <w:rsid w:val="002B6F1C"/>
    <w:rsid w:val="002E1B2A"/>
    <w:rsid w:val="003D4643"/>
    <w:rsid w:val="003F1F43"/>
    <w:rsid w:val="003F4D53"/>
    <w:rsid w:val="0040314E"/>
    <w:rsid w:val="0048557F"/>
    <w:rsid w:val="00486FA2"/>
    <w:rsid w:val="00503684"/>
    <w:rsid w:val="0050447E"/>
    <w:rsid w:val="00512C28"/>
    <w:rsid w:val="0055297A"/>
    <w:rsid w:val="0055360A"/>
    <w:rsid w:val="005B4946"/>
    <w:rsid w:val="005B4EBF"/>
    <w:rsid w:val="005D4114"/>
    <w:rsid w:val="005F3291"/>
    <w:rsid w:val="00605FA6"/>
    <w:rsid w:val="00614BE8"/>
    <w:rsid w:val="006559E5"/>
    <w:rsid w:val="006C5634"/>
    <w:rsid w:val="006D5CB9"/>
    <w:rsid w:val="006F1851"/>
    <w:rsid w:val="006F4F35"/>
    <w:rsid w:val="00711230"/>
    <w:rsid w:val="007C5011"/>
    <w:rsid w:val="00800D77"/>
    <w:rsid w:val="008331CA"/>
    <w:rsid w:val="00856C9B"/>
    <w:rsid w:val="00876432"/>
    <w:rsid w:val="008C6E1E"/>
    <w:rsid w:val="008E693D"/>
    <w:rsid w:val="008F2F68"/>
    <w:rsid w:val="00902783"/>
    <w:rsid w:val="00933ABD"/>
    <w:rsid w:val="00964408"/>
    <w:rsid w:val="00971055"/>
    <w:rsid w:val="00972C9E"/>
    <w:rsid w:val="00983473"/>
    <w:rsid w:val="009844E6"/>
    <w:rsid w:val="00A15970"/>
    <w:rsid w:val="00A75CEF"/>
    <w:rsid w:val="00A940FD"/>
    <w:rsid w:val="00A97E36"/>
    <w:rsid w:val="00AB2588"/>
    <w:rsid w:val="00AC5183"/>
    <w:rsid w:val="00AD5267"/>
    <w:rsid w:val="00AE7E72"/>
    <w:rsid w:val="00AF7646"/>
    <w:rsid w:val="00B453DF"/>
    <w:rsid w:val="00B523B3"/>
    <w:rsid w:val="00BA38CE"/>
    <w:rsid w:val="00BC2AF5"/>
    <w:rsid w:val="00BD5CA2"/>
    <w:rsid w:val="00BF7668"/>
    <w:rsid w:val="00C237C5"/>
    <w:rsid w:val="00C25703"/>
    <w:rsid w:val="00C310B4"/>
    <w:rsid w:val="00C50900"/>
    <w:rsid w:val="00C70454"/>
    <w:rsid w:val="00C715BD"/>
    <w:rsid w:val="00C72E41"/>
    <w:rsid w:val="00C7691E"/>
    <w:rsid w:val="00C940C9"/>
    <w:rsid w:val="00C95A54"/>
    <w:rsid w:val="00CA026F"/>
    <w:rsid w:val="00CC191D"/>
    <w:rsid w:val="00CF709D"/>
    <w:rsid w:val="00D14295"/>
    <w:rsid w:val="00D73109"/>
    <w:rsid w:val="00D740F0"/>
    <w:rsid w:val="00D75514"/>
    <w:rsid w:val="00D83A13"/>
    <w:rsid w:val="00D84349"/>
    <w:rsid w:val="00D97DCE"/>
    <w:rsid w:val="00DA271D"/>
    <w:rsid w:val="00DB63A7"/>
    <w:rsid w:val="00E31832"/>
    <w:rsid w:val="00F16CB4"/>
    <w:rsid w:val="00F35061"/>
    <w:rsid w:val="00F64DB6"/>
    <w:rsid w:val="00F9319E"/>
    <w:rsid w:val="00FB156F"/>
    <w:rsid w:val="00FC3123"/>
    <w:rsid w:val="00FC6DA1"/>
    <w:rsid w:val="00FE19D1"/>
    <w:rsid w:val="041C6594"/>
    <w:rsid w:val="042430FF"/>
    <w:rsid w:val="04B52449"/>
    <w:rsid w:val="075779BE"/>
    <w:rsid w:val="0A3F4BF2"/>
    <w:rsid w:val="0B9834E1"/>
    <w:rsid w:val="0F267F6D"/>
    <w:rsid w:val="0F6C61E3"/>
    <w:rsid w:val="0FFF34B8"/>
    <w:rsid w:val="11793532"/>
    <w:rsid w:val="11F77130"/>
    <w:rsid w:val="12BF3CDD"/>
    <w:rsid w:val="17B92531"/>
    <w:rsid w:val="192239A5"/>
    <w:rsid w:val="1D054899"/>
    <w:rsid w:val="21CC2B3A"/>
    <w:rsid w:val="24402481"/>
    <w:rsid w:val="2DC419B0"/>
    <w:rsid w:val="2F0733E2"/>
    <w:rsid w:val="2FEE586A"/>
    <w:rsid w:val="30462121"/>
    <w:rsid w:val="347F2D45"/>
    <w:rsid w:val="35E04CC1"/>
    <w:rsid w:val="36E36D1A"/>
    <w:rsid w:val="37256855"/>
    <w:rsid w:val="39025ADD"/>
    <w:rsid w:val="3A2A7F77"/>
    <w:rsid w:val="402F062C"/>
    <w:rsid w:val="43B40C39"/>
    <w:rsid w:val="45DE60C0"/>
    <w:rsid w:val="47816325"/>
    <w:rsid w:val="48154263"/>
    <w:rsid w:val="48FC796D"/>
    <w:rsid w:val="4E957074"/>
    <w:rsid w:val="5274084D"/>
    <w:rsid w:val="53577BC1"/>
    <w:rsid w:val="55CF060F"/>
    <w:rsid w:val="589A77A1"/>
    <w:rsid w:val="5A5A381F"/>
    <w:rsid w:val="5AE66DA0"/>
    <w:rsid w:val="5BD92DF7"/>
    <w:rsid w:val="5E24127A"/>
    <w:rsid w:val="5ED31504"/>
    <w:rsid w:val="65301EAA"/>
    <w:rsid w:val="68A81F45"/>
    <w:rsid w:val="6DF73C89"/>
    <w:rsid w:val="70E938CE"/>
    <w:rsid w:val="722E70FC"/>
    <w:rsid w:val="7259270C"/>
    <w:rsid w:val="72C83E1D"/>
    <w:rsid w:val="73C131AA"/>
    <w:rsid w:val="74DC4CD2"/>
    <w:rsid w:val="76525806"/>
    <w:rsid w:val="7BF51CF9"/>
    <w:rsid w:val="7C7C0BDF"/>
    <w:rsid w:val="7E7228D2"/>
    <w:rsid w:val="7F8F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标题 2 Char"/>
    <w:basedOn w:val="9"/>
    <w:link w:val="2"/>
    <w:qFormat/>
    <w:uiPriority w:val="9"/>
    <w:rPr>
      <w:rFonts w:ascii="Cambria" w:hAnsi="Cambria" w:eastAsia="宋体" w:cs="Times New Roman"/>
      <w:b/>
      <w:bCs/>
      <w:kern w:val="2"/>
      <w:sz w:val="32"/>
      <w:szCs w:val="32"/>
    </w:rPr>
  </w:style>
  <w:style w:type="paragraph" w:customStyle="1" w:styleId="12">
    <w:name w:val="p0"/>
    <w:basedOn w:val="1"/>
    <w:qFormat/>
    <w:uiPriority w:val="99"/>
    <w:pPr>
      <w:widowControl/>
      <w:spacing w:after="160" w:line="480" w:lineRule="auto"/>
    </w:pPr>
    <w:rPr>
      <w:rFonts w:ascii="Times New Roman" w:hAnsi="Times New Roman"/>
      <w:kern w:val="0"/>
      <w:szCs w:val="24"/>
    </w:rPr>
  </w:style>
  <w:style w:type="character" w:customStyle="1" w:styleId="13">
    <w:name w:val="批注框文本 Char"/>
    <w:basedOn w:val="9"/>
    <w:link w:val="3"/>
    <w:semiHidden/>
    <w:uiPriority w:val="99"/>
    <w:rPr>
      <w:rFonts w:ascii="Calibri" w:hAnsi="Calibri"/>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emf"/><Relationship Id="rId14" Type="http://schemas.openxmlformats.org/officeDocument/2006/relationships/package" Target="embeddings/Workbook1.xlsx"/><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6072</Words>
  <Characters>1199</Characters>
  <Lines>9</Lines>
  <Paragraphs>14</Paragraphs>
  <TotalTime>143</TotalTime>
  <ScaleCrop>false</ScaleCrop>
  <LinksUpToDate>false</LinksUpToDate>
  <CharactersWithSpaces>7257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爱笑的女子</cp:lastModifiedBy>
  <cp:lastPrinted>2018-10-10T00:45:00Z</cp:lastPrinted>
  <dcterms:modified xsi:type="dcterms:W3CDTF">2021-05-27T09:10:34Z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DDBCF3E9B4614C4A94C4AFE1E619FAED</vt:lpwstr>
  </property>
</Properties>
</file>